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551A" w14:textId="52931D09" w:rsidR="00DB308D" w:rsidRPr="008541C2" w:rsidRDefault="00DB308D" w:rsidP="004C2111">
      <w:pPr>
        <w:pStyle w:val="Reference"/>
        <w:rPr>
          <w:rFonts w:cstheme="minorBidi"/>
          <w:lang w:val="en-US" w:bidi="th-TH"/>
        </w:rPr>
      </w:pPr>
    </w:p>
    <w:p w14:paraId="092C8603" w14:textId="42E9FD2A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6E203F7A" w14:textId="77777777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val="en-US" w:bidi="th-TH"/>
        </w:rPr>
      </w:pPr>
    </w:p>
    <w:p w14:paraId="5E7602B5" w14:textId="77777777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1E5A731" w14:textId="77777777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val="en-US" w:bidi="th-TH"/>
        </w:rPr>
      </w:pPr>
    </w:p>
    <w:p w14:paraId="46B8140E" w14:textId="77777777" w:rsidR="00916653" w:rsidRDefault="0091665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  <w:lang w:val="en-US" w:bidi="th-TH"/>
        </w:rPr>
      </w:pPr>
    </w:p>
    <w:p w14:paraId="300B4D61" w14:textId="79622F28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ผู้ถือหุ้นของ</w:t>
      </w:r>
      <w:r w:rsidR="002E314B"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="002E314B">
        <w:rPr>
          <w:rFonts w:ascii="Browallia New" w:hAnsi="Browallia New" w:cs="Browallia New"/>
          <w:b/>
          <w:bCs/>
          <w:sz w:val="28"/>
          <w:szCs w:val="28"/>
          <w:lang w:bidi="th-TH"/>
        </w:rPr>
        <w:t xml:space="preserve"> </w:t>
      </w:r>
      <w:r w:rsidR="002E314B" w:rsidRPr="006D58CC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ศูนย์บริการเหล็กสยาม</w:t>
      </w:r>
      <w:r w:rsidR="002E314B" w:rsidRPr="006D58CC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2E314B"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="002E314B"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="002E314B"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="002E314B"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553DD682" w:rsidR="00AD3B26" w:rsidRDefault="00AD3B26" w:rsidP="002E1143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405B22F3" w14:textId="4840DF39" w:rsidR="006D72B8" w:rsidRPr="004C44CB" w:rsidRDefault="006D72B8" w:rsidP="006D72B8">
      <w:pPr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ความเห็น</w:t>
      </w:r>
    </w:p>
    <w:p w14:paraId="7BC06B97" w14:textId="77777777" w:rsidR="006D72B8" w:rsidRPr="00AD3B26" w:rsidRDefault="006D72B8" w:rsidP="001766CF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15E0B776" w:rsidR="00CD4D4E" w:rsidRPr="00DC1188" w:rsidRDefault="00142624" w:rsidP="001766CF">
      <w:pPr>
        <w:spacing w:after="0"/>
        <w:jc w:val="thaiDistribute"/>
        <w:rPr>
          <w:rFonts w:ascii="Browallia New" w:hAnsi="Browallia New" w:cs="Browallia New"/>
          <w:sz w:val="28"/>
          <w:szCs w:val="28"/>
          <w:lang w:val="en-US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</w:t>
      </w:r>
      <w:r w:rsidR="008130BE">
        <w:rPr>
          <w:rFonts w:ascii="Browallia New" w:hAnsi="Browallia New" w:cs="Browallia New" w:hint="cs"/>
          <w:sz w:val="28"/>
          <w:szCs w:val="28"/>
          <w:cs/>
          <w:lang w:bidi="th-TH"/>
        </w:rPr>
        <w:t>ตรวจสอบ</w:t>
      </w:r>
      <w:r w:rsidR="00C34E27">
        <w:rPr>
          <w:rFonts w:ascii="Browallia New" w:hAnsi="Browallia New" w:cs="Browallia New" w:hint="cs"/>
          <w:sz w:val="28"/>
          <w:szCs w:val="28"/>
          <w:cs/>
          <w:lang w:bidi="th-TH"/>
        </w:rPr>
        <w:t>งบการเงินรวม</w:t>
      </w:r>
      <w:r w:rsidR="0069319C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</w:t>
      </w:r>
      <w:r w:rsidR="00C34E27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</w:t>
      </w:r>
      <w:r w:rsidR="00C34E27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2E314B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ศูนย์บริการเหล็กสยาม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จำกัด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(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มหาชน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>)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C34E27" w:rsidRPr="002E314B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E465E7">
        <w:rPr>
          <w:rFonts w:ascii="Browallia New" w:hAnsi="Browallia New" w:cs="Browallia New"/>
          <w:sz w:val="28"/>
          <w:szCs w:val="28"/>
          <w:lang w:bidi="th-TH"/>
        </w:rPr>
        <w:t xml:space="preserve"> (“</w:t>
      </w:r>
      <w:r w:rsidR="00E465E7">
        <w:rPr>
          <w:rFonts w:ascii="Browallia New" w:hAnsi="Browallia New" w:cs="Browallia New" w:hint="cs"/>
          <w:sz w:val="28"/>
          <w:szCs w:val="28"/>
          <w:cs/>
          <w:lang w:bidi="th-TH"/>
        </w:rPr>
        <w:t>กลุ่มบริษัท</w:t>
      </w:r>
      <w:r w:rsidR="00E465E7">
        <w:rPr>
          <w:rFonts w:ascii="Browallia New" w:hAnsi="Browallia New" w:cs="Browallia New"/>
          <w:sz w:val="28"/>
          <w:szCs w:val="28"/>
          <w:lang w:val="en-US" w:bidi="th-TH"/>
        </w:rPr>
        <w:t>”)</w:t>
      </w:r>
      <w:r w:rsidR="00C34E27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7E6873">
        <w:rPr>
          <w:rFonts w:ascii="Browallia New" w:hAnsi="Browallia New" w:cs="Browallia New" w:hint="cs"/>
          <w:sz w:val="28"/>
          <w:szCs w:val="28"/>
          <w:cs/>
          <w:lang w:bidi="th-TH"/>
        </w:rPr>
        <w:t>ซึ่งประกอบด้ว</w:t>
      </w:r>
      <w:r w:rsidR="0071369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ย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งบแสดงฐานะการเงินรวม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และเฉพาะของบริษัท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ณ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วันที่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766CF">
        <w:rPr>
          <w:rFonts w:ascii="Browallia New" w:hAnsi="Browallia New" w:cs="Browallia New"/>
          <w:sz w:val="28"/>
          <w:szCs w:val="28"/>
          <w:lang w:bidi="th-TH"/>
        </w:rPr>
        <w:t xml:space="preserve">                     </w:t>
      </w:r>
      <w:r w:rsidR="00B32AF7">
        <w:rPr>
          <w:rFonts w:ascii="Browallia New" w:hAnsi="Browallia New" w:cs="Browallia New"/>
          <w:sz w:val="28"/>
          <w:szCs w:val="28"/>
          <w:lang w:bidi="th-TH"/>
        </w:rPr>
        <w:t>3</w:t>
      </w:r>
      <w:r w:rsidR="00EE3363">
        <w:rPr>
          <w:rFonts w:ascii="Browallia New" w:hAnsi="Browallia New" w:cs="Browallia New"/>
          <w:sz w:val="28"/>
          <w:szCs w:val="28"/>
          <w:lang w:val="en-US" w:bidi="th-TH"/>
        </w:rPr>
        <w:t>1</w:t>
      </w:r>
      <w:r w:rsidR="00B32AF7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EE3363">
        <w:rPr>
          <w:rFonts w:ascii="Browallia New" w:hAnsi="Browallia New" w:cs="Browallia New" w:hint="cs"/>
          <w:sz w:val="28"/>
          <w:szCs w:val="28"/>
          <w:cs/>
          <w:lang w:bidi="th-TH"/>
        </w:rPr>
        <w:t>ธันวาคม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EE3363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6D6895">
        <w:rPr>
          <w:rFonts w:ascii="Browallia New" w:hAnsi="Browallia New" w:cs="Browallia New"/>
          <w:sz w:val="28"/>
          <w:szCs w:val="28"/>
          <w:lang w:val="en-US" w:bidi="th-TH"/>
        </w:rPr>
        <w:t>5</w:t>
      </w:r>
      <w:r w:rsidR="00344FA8"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งบกำไรขาดทุนและกำไรขาดทุนเบ็ดเสร็จอ</w:t>
      </w:r>
      <w:r w:rsidR="006F2EC8"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นรวม</w:t>
      </w:r>
      <w:r w:rsidR="00AB1178" w:rsidRPr="00A85E8A">
        <w:rPr>
          <w:rFonts w:ascii="Browallia New" w:hAnsi="Browallia New" w:cs="Browallia New"/>
          <w:sz w:val="28"/>
          <w:szCs w:val="28"/>
          <w:cs/>
          <w:lang w:bidi="th-TH"/>
        </w:rPr>
        <w:t>และเฉพาะของบริษัท</w:t>
      </w:r>
      <w:r w:rsidR="00887416" w:rsidRPr="0054414E">
        <w:rPr>
          <w:rFonts w:ascii="Browallia New" w:hAnsi="Browallia New" w:cs="Browallia New"/>
          <w:color w:val="007C87" w:themeColor="accent3" w:themeShade="BF"/>
          <w:spacing w:val="-4"/>
          <w:sz w:val="28"/>
          <w:szCs w:val="28"/>
          <w:lang w:bidi="th-TH"/>
        </w:rPr>
        <w:t xml:space="preserve"> </w:t>
      </w:r>
      <w:r w:rsidRPr="0054414E">
        <w:rPr>
          <w:rFonts w:ascii="Browallia New" w:hAnsi="Browallia New" w:cs="Browallia New" w:hint="cs"/>
          <w:sz w:val="28"/>
          <w:szCs w:val="28"/>
          <w:cs/>
          <w:lang w:bidi="th-TH"/>
        </w:rPr>
        <w:t>งบแสดงการเปลี่ยนแปลง</w:t>
      </w:r>
      <w:r w:rsidRPr="0054414E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ส่วนของผู้ถือหุ้นรวม</w:t>
      </w:r>
      <w:r w:rsidR="00AB1178" w:rsidRPr="00A85E8A">
        <w:rPr>
          <w:rFonts w:ascii="Browallia New" w:hAnsi="Browallia New" w:cs="Browallia New"/>
          <w:sz w:val="28"/>
          <w:szCs w:val="28"/>
          <w:cs/>
          <w:lang w:bidi="th-TH"/>
        </w:rPr>
        <w:t>และเฉพาะของบริษัท</w:t>
      </w:r>
      <w:r w:rsidR="00AB1178" w:rsidRPr="0054414E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54414E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และงบกระแสเงินสดรวม</w:t>
      </w:r>
      <w:r w:rsidR="00AB1178" w:rsidRPr="00A85E8A">
        <w:rPr>
          <w:rFonts w:ascii="Browallia New" w:hAnsi="Browallia New" w:cs="Browallia New"/>
          <w:sz w:val="28"/>
          <w:szCs w:val="28"/>
          <w:cs/>
          <w:lang w:bidi="th-TH"/>
        </w:rPr>
        <w:t>และเฉพาะของบริษัท</w:t>
      </w:r>
      <w:r w:rsidR="009C44D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54414E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สำหรับ</w:t>
      </w:r>
      <w:r w:rsidR="00F81F60" w:rsidRPr="0054414E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ปี</w:t>
      </w:r>
      <w:r w:rsidRPr="0054414E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สิ้นสุด</w:t>
      </w:r>
      <w:r w:rsidRPr="001766CA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วัน</w:t>
      </w:r>
      <w:r w:rsidR="00AD3BA9" w:rsidRPr="00F22225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>เดียวกัน</w:t>
      </w:r>
      <w:r w:rsidR="00F81F60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และหมายเหตุ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ประกอบงบการเงิน</w:t>
      </w:r>
      <w:r w:rsidR="00056AAA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A9707B">
        <w:rPr>
          <w:rFonts w:ascii="Browallia New" w:hAnsi="Browallia New" w:cs="Browallia New" w:hint="cs"/>
          <w:sz w:val="28"/>
          <w:szCs w:val="28"/>
          <w:cs/>
          <w:lang w:bidi="th-TH"/>
        </w:rPr>
        <w:t>ซึ่ง</w:t>
      </w:r>
      <w:r w:rsidR="00B51B47">
        <w:rPr>
          <w:rFonts w:ascii="Browallia New" w:hAnsi="Browallia New" w:cs="Browallia New" w:hint="cs"/>
          <w:sz w:val="28"/>
          <w:szCs w:val="28"/>
          <w:cs/>
          <w:lang w:bidi="th-TH"/>
        </w:rPr>
        <w:t>รวมถึงหมายเหตุสรุปนโยบาย</w:t>
      </w:r>
      <w:r w:rsidR="00EC0722">
        <w:rPr>
          <w:rFonts w:ascii="Browallia New" w:hAnsi="Browallia New" w:cs="Browallia New" w:hint="cs"/>
          <w:sz w:val="28"/>
          <w:szCs w:val="28"/>
          <w:cs/>
          <w:lang w:bidi="th-TH"/>
        </w:rPr>
        <w:t>การบัญชีที่สำคัญ</w:t>
      </w:r>
      <w:r w:rsidR="00DD0F01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</w:p>
    <w:p w14:paraId="77610F67" w14:textId="59A9EBF7" w:rsidR="003F5A96" w:rsidRDefault="003F5A96" w:rsidP="001766C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13944095" w14:textId="74676667" w:rsidR="004C7819" w:rsidRPr="00AC48F3" w:rsidRDefault="004C7819" w:rsidP="004C7819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ข้าพเจ้าเห็นว่า งบการเงิน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="00DC03C2">
        <w:rPr>
          <w:rFonts w:ascii="Browallia New" w:hAnsi="Browallia New" w:cs="Browallia New" w:hint="cs"/>
          <w:sz w:val="28"/>
          <w:szCs w:val="28"/>
          <w:cs/>
          <w:lang w:bidi="th-TH"/>
        </w:rPr>
        <w:t>ที่แนบมา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นี้แสดงฐานะการเงิน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</w:t>
      </w:r>
      <w:r w:rsidR="006B2FE3" w:rsidRPr="0054414E">
        <w:rPr>
          <w:rFonts w:ascii="Browallia New" w:hAnsi="Browallia New" w:cs="Browallia New" w:hint="cs"/>
          <w:sz w:val="28"/>
          <w:szCs w:val="28"/>
          <w:cs/>
          <w:lang w:bidi="th-TH"/>
        </w:rPr>
        <w:t>และ</w:t>
      </w:r>
      <w:r w:rsidR="007671BE" w:rsidRPr="00A85E8A">
        <w:rPr>
          <w:rFonts w:ascii="Browallia New" w:hAnsi="Browallia New" w:cs="Browallia New"/>
          <w:sz w:val="28"/>
          <w:szCs w:val="28"/>
          <w:cs/>
          <w:lang w:bidi="th-TH"/>
        </w:rPr>
        <w:t>เฉพาะของ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2E314B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ศูนย์บริการเหล็กสยาม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จำกัด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(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มหาชน</w:t>
      </w:r>
      <w:r w:rsidR="002E314B" w:rsidRPr="00BC1D2E">
        <w:rPr>
          <w:rFonts w:ascii="Browallia New" w:hAnsi="Browallia New" w:cs="Browallia New"/>
          <w:sz w:val="28"/>
          <w:szCs w:val="28"/>
          <w:cs/>
          <w:lang w:val="en-US" w:bidi="th-TH"/>
        </w:rPr>
        <w:t>)</w:t>
      </w:r>
      <w:r w:rsidR="002E314B" w:rsidRPr="00BC1D2E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480B62" w:rsidRPr="002E314B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Pr="002E314B">
        <w:rPr>
          <w:rFonts w:ascii="Browallia New" w:hAnsi="Browallia New" w:cs="Browallia New"/>
          <w:sz w:val="28"/>
          <w:szCs w:val="28"/>
          <w:cs/>
          <w:lang w:bidi="th-TH"/>
        </w:rPr>
        <w:t xml:space="preserve"> ณ</w:t>
      </w:r>
      <w:r w:rsidRPr="002E314B">
        <w:rPr>
          <w:rFonts w:ascii="Browallia New" w:hAnsi="Browallia New" w:cs="Browallia New"/>
          <w:sz w:val="28"/>
          <w:szCs w:val="28"/>
        </w:rPr>
        <w:t xml:space="preserve"> </w:t>
      </w:r>
      <w:r w:rsidRPr="002E314B">
        <w:rPr>
          <w:rFonts w:ascii="Browallia New" w:hAnsi="Browallia New" w:cs="Browallia New"/>
          <w:sz w:val="28"/>
          <w:szCs w:val="28"/>
          <w:cs/>
          <w:lang w:bidi="th-TH"/>
        </w:rPr>
        <w:t>วันที่</w:t>
      </w:r>
      <w:r w:rsidRPr="002E314B">
        <w:rPr>
          <w:rFonts w:ascii="Browallia New" w:hAnsi="Browallia New" w:cs="Browallia New"/>
          <w:sz w:val="28"/>
          <w:szCs w:val="28"/>
        </w:rPr>
        <w:t xml:space="preserve"> 31</w:t>
      </w:r>
      <w:r w:rsidRPr="00AC48F3">
        <w:rPr>
          <w:rFonts w:ascii="Browallia New" w:hAnsi="Browallia New" w:cs="Browallia New"/>
          <w:sz w:val="28"/>
          <w:szCs w:val="28"/>
        </w:rPr>
        <w:t xml:space="preserve"> 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ธันวาคม </w:t>
      </w:r>
      <w:r w:rsidRPr="00AC48F3">
        <w:rPr>
          <w:rFonts w:ascii="Browallia New" w:hAnsi="Browallia New" w:cs="Browallia New"/>
          <w:sz w:val="28"/>
          <w:szCs w:val="28"/>
        </w:rPr>
        <w:t>25</w:t>
      </w:r>
      <w:r>
        <w:rPr>
          <w:rFonts w:ascii="Browallia New" w:hAnsi="Browallia New" w:cs="Browallia New"/>
          <w:sz w:val="28"/>
          <w:szCs w:val="28"/>
        </w:rPr>
        <w:t>6</w:t>
      </w:r>
      <w:r w:rsidR="006D6895">
        <w:rPr>
          <w:rFonts w:ascii="Browallia New" w:hAnsi="Browallia New" w:cs="Browallia New"/>
          <w:sz w:val="28"/>
          <w:szCs w:val="28"/>
        </w:rPr>
        <w:t>5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 ผลการดำเนินงาน</w:t>
      </w:r>
      <w:r w:rsidRPr="0054414E">
        <w:rPr>
          <w:rFonts w:ascii="Browallia New" w:hAnsi="Browallia New" w:cs="Browallia New"/>
          <w:sz w:val="28"/>
          <w:szCs w:val="28"/>
          <w:cs/>
          <w:lang w:bidi="th-TH"/>
        </w:rPr>
        <w:t>รวม</w:t>
      </w:r>
      <w:r w:rsidR="00BE315C" w:rsidRPr="00A85E8A">
        <w:rPr>
          <w:rFonts w:ascii="Browallia New" w:hAnsi="Browallia New" w:cs="Browallia New"/>
          <w:sz w:val="28"/>
          <w:szCs w:val="28"/>
          <w:cs/>
          <w:lang w:bidi="th-TH"/>
        </w:rPr>
        <w:t>และเฉพาะของบริษัท</w:t>
      </w:r>
      <w:r w:rsidRPr="0054414E">
        <w:rPr>
          <w:rFonts w:ascii="Browallia New" w:hAnsi="Browallia New" w:cs="Browallia New"/>
          <w:sz w:val="28"/>
          <w:szCs w:val="28"/>
          <w:cs/>
          <w:lang w:bidi="th-TH"/>
        </w:rPr>
        <w:t xml:space="preserve"> และกระแสเงินสดรวม</w:t>
      </w:r>
      <w:r w:rsidR="00BE315C" w:rsidRPr="00A85E8A">
        <w:rPr>
          <w:rFonts w:ascii="Browallia New" w:hAnsi="Browallia New" w:cs="Browallia New"/>
          <w:sz w:val="28"/>
          <w:szCs w:val="28"/>
          <w:cs/>
          <w:lang w:bidi="th-TH"/>
        </w:rPr>
        <w:t>และเฉพาะของบริษัท</w:t>
      </w:r>
      <w:r w:rsidRPr="0054414E">
        <w:rPr>
          <w:rFonts w:ascii="Browallia New" w:hAnsi="Browallia New" w:cs="Browallia New"/>
          <w:sz w:val="28"/>
          <w:szCs w:val="28"/>
          <w:cs/>
          <w:lang w:bidi="th-TH"/>
        </w:rPr>
        <w:t xml:space="preserve">สำหรับปีสิ้นสุดวันเดียวกัน </w:t>
      </w:r>
      <w:r w:rsidRPr="0054414E">
        <w:rPr>
          <w:rFonts w:ascii="Browallia New" w:eastAsia="Calibri" w:hAnsi="Browallia New" w:cs="Browallia New"/>
          <w:sz w:val="28"/>
          <w:szCs w:val="28"/>
          <w:cs/>
          <w:lang w:bidi="th-TH"/>
        </w:rPr>
        <w:t>โดยถูกต้องตามที่ควรในสาระสำคัญ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ตามมาตรฐานการรายงานทางการเงิ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น</w:t>
      </w:r>
    </w:p>
    <w:p w14:paraId="66CE4E07" w14:textId="77777777" w:rsidR="004C7819" w:rsidRDefault="004C7819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97D0DA1" w14:textId="77777777" w:rsidR="003E6CB6" w:rsidRPr="004C44CB" w:rsidRDefault="003E6CB6" w:rsidP="003E6CB6">
      <w:pPr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</w:rPr>
      </w:pP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เกณฑ์ในการแสดงความเห็น</w:t>
      </w:r>
    </w:p>
    <w:p w14:paraId="0D80A71E" w14:textId="77777777" w:rsidR="003E6CB6" w:rsidRPr="00AC48F3" w:rsidRDefault="003E6CB6" w:rsidP="003E6CB6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28"/>
          <w:szCs w:val="28"/>
        </w:rPr>
      </w:pPr>
    </w:p>
    <w:p w14:paraId="1B97E445" w14:textId="6741F5AD" w:rsidR="003E6CB6" w:rsidRDefault="003E6CB6" w:rsidP="003E6CB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ข้าพเจ้าได้ปฏิบัติงานตรวจสอบตามมาตรฐานการสอบบัญชี </w:t>
      </w:r>
      <w:r w:rsidR="00D54D67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โดยระบุ</w:t>
      </w:r>
      <w:r w:rsidRPr="005F72D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ความรับผิดชอบของข้าพเจ้าไว้ใน</w:t>
      </w:r>
      <w:r w:rsidR="00404B7E" w:rsidRPr="005F72D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วรรคความรับผิดชอบของผู้สอบบัญช</w:t>
      </w:r>
      <w:r w:rsidR="003F0972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ีใน</w:t>
      </w:r>
      <w:r w:rsidRPr="005F72D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การตรวจสอบงบการเงิน</w:t>
      </w:r>
      <w:r w:rsidR="003F0972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="009F499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ใน</w:t>
      </w:r>
      <w:r w:rsidR="009F4998" w:rsidRPr="005F72D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รายงาน</w:t>
      </w:r>
      <w:r w:rsidR="003F0972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นี้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ทั้งนี้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ข้าพเจ้ามีความเป็นอิสระจาก</w:t>
      </w:r>
      <w:r w:rsidRPr="00C963FE">
        <w:rPr>
          <w:rFonts w:ascii="Browallia New" w:eastAsia="Calibri" w:hAnsi="Browallia New" w:cs="Browallia New"/>
          <w:sz w:val="28"/>
          <w:szCs w:val="28"/>
          <w:cs/>
          <w:lang w:bidi="th-TH"/>
        </w:rPr>
        <w:t>กลุ่มบริษัท</w:t>
      </w:r>
      <w:r w:rsidR="00BF6F3C" w:rsidRPr="00C963FE">
        <w:rPr>
          <w:rFonts w:ascii="Browallia New" w:eastAsia="Calibri" w:hAnsi="Browallia New" w:cs="Browallia New"/>
          <w:sz w:val="28"/>
          <w:szCs w:val="28"/>
          <w:cs/>
          <w:lang w:bidi="th-TH"/>
        </w:rPr>
        <w:t>ตามประมวลจรรยาบรรณของผู้ประกอบวิชาชีพ รวมถึงมาตรฐานเรื่องค</w:t>
      </w:r>
      <w:r w:rsidR="00E020BB" w:rsidRPr="00C963F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วามเป็นอิสระที่กำหนดโดยสภาวิชาชีพบัญชี </w:t>
      </w:r>
      <w:r w:rsidR="00E020BB" w:rsidRPr="00C963FE">
        <w:rPr>
          <w:rFonts w:ascii="Browallia New" w:eastAsia="Calibri" w:hAnsi="Browallia New" w:cs="Browallia New"/>
          <w:sz w:val="28"/>
          <w:szCs w:val="28"/>
          <w:lang w:val="en-US" w:bidi="th-TH"/>
        </w:rPr>
        <w:t>(</w:t>
      </w:r>
      <w:r w:rsidR="00E020BB" w:rsidRPr="00C963FE">
        <w:rPr>
          <w:rFonts w:ascii="Browallia New" w:eastAsia="Calibri" w:hAnsi="Browallia New" w:cs="Browallia New"/>
          <w:sz w:val="28"/>
          <w:szCs w:val="28"/>
          <w:cs/>
          <w:lang w:val="en-US" w:bidi="th-TH"/>
        </w:rPr>
        <w:t>ประมวลจรรยาบรรณของผู้ประกอบวิชาชีพบัญชี</w:t>
      </w:r>
      <w:r w:rsidR="00E020BB" w:rsidRPr="00C963FE">
        <w:rPr>
          <w:rFonts w:ascii="Browallia New" w:eastAsia="Calibri" w:hAnsi="Browallia New" w:cs="Browallia New"/>
          <w:sz w:val="28"/>
          <w:szCs w:val="28"/>
          <w:lang w:val="en-US" w:bidi="th-TH"/>
        </w:rPr>
        <w:t>)</w:t>
      </w:r>
      <w:r w:rsidRPr="00C963F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C963F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ในส่วนที่เกี่ยวข้องกับการตรวจสอบงบการเงิน</w:t>
      </w:r>
      <w:r w:rsidRPr="00C963F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รวมและเฉพาะของบริษัท </w:t>
      </w:r>
      <w:r w:rsidRPr="00C963F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และข้าพเจ้าได้ปฏิบัติตามความรับผิดชอบด้านจรรยาบรรณอื่น</w:t>
      </w:r>
      <w:r w:rsidR="004677F4" w:rsidRPr="00C963FE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Pr="00C963F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ๆ</w:t>
      </w:r>
      <w:r w:rsidRPr="00C963F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="002E1143">
        <w:rPr>
          <w:rFonts w:ascii="Browallia New" w:eastAsia="Calibri" w:hAnsi="Browallia New" w:cs="Browallia New"/>
          <w:sz w:val="28"/>
          <w:szCs w:val="28"/>
          <w:lang w:bidi="th-TH"/>
        </w:rPr>
        <w:br/>
      </w:r>
      <w:r w:rsidR="00632429" w:rsidRPr="00C963FE">
        <w:rPr>
          <w:rFonts w:ascii="Browallia New" w:eastAsia="Calibri" w:hAnsi="Browallia New" w:cs="Browallia New"/>
          <w:sz w:val="28"/>
          <w:szCs w:val="28"/>
          <w:cs/>
          <w:lang w:bidi="th-TH"/>
        </w:rPr>
        <w:t>ตามประมวลจรรยาบรรณของผู้ประกอบวิชาชีพ</w:t>
      </w:r>
      <w:r w:rsidR="001177A9" w:rsidRPr="00C963FE">
        <w:rPr>
          <w:rFonts w:ascii="Browallia New" w:eastAsia="Calibri" w:hAnsi="Browallia New" w:cs="Browallia New"/>
          <w:sz w:val="28"/>
          <w:szCs w:val="28"/>
          <w:cs/>
          <w:lang w:bidi="th-TH"/>
        </w:rPr>
        <w:t>บัญชี</w:t>
      </w:r>
      <w:r w:rsidRPr="00C963FE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</w:t>
      </w:r>
      <w:r w:rsidRPr="00C963F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ข้าพเจ้าเชื่อว่าหลักฐานการสอบบัญชีที่ข้าพเจ้าได้ร</w:t>
      </w:r>
      <w:r w:rsidR="006A6BB9" w:rsidRPr="00C963F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วบรวม</w:t>
      </w:r>
      <w:r w:rsidRPr="00C963FE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มานั้นเพียงพอและเหมาะสมเพื่อใช้เป็นเกณฑ์ในการแสดงความเห็นของข้าพเจ้า</w:t>
      </w:r>
    </w:p>
    <w:p w14:paraId="63A94251" w14:textId="29FD464A" w:rsidR="0034149A" w:rsidRDefault="0034149A" w:rsidP="00CD4D4E">
      <w:pPr>
        <w:jc w:val="thaiDistribute"/>
        <w:rPr>
          <w:noProof/>
          <w:lang w:bidi="th-TH"/>
        </w:rPr>
      </w:pPr>
    </w:p>
    <w:p w14:paraId="747E4BC3" w14:textId="52B839C9" w:rsidR="002E1143" w:rsidRDefault="002E1143" w:rsidP="00CD4D4E">
      <w:pPr>
        <w:jc w:val="thaiDistribute"/>
        <w:rPr>
          <w:noProof/>
          <w:lang w:bidi="th-TH"/>
        </w:rPr>
      </w:pPr>
    </w:p>
    <w:p w14:paraId="008DA446" w14:textId="54E3B325" w:rsidR="002E1143" w:rsidRDefault="002E1143" w:rsidP="00CD4D4E">
      <w:pPr>
        <w:jc w:val="thaiDistribute"/>
        <w:rPr>
          <w:noProof/>
          <w:lang w:bidi="th-TH"/>
        </w:rPr>
      </w:pPr>
    </w:p>
    <w:p w14:paraId="3E5C889B" w14:textId="77777777" w:rsidR="002E1143" w:rsidRDefault="002E1143" w:rsidP="00CD4D4E">
      <w:pPr>
        <w:jc w:val="thaiDistribute"/>
        <w:rPr>
          <w:noProof/>
          <w:lang w:bidi="th-TH"/>
        </w:rPr>
      </w:pPr>
    </w:p>
    <w:p w14:paraId="222A93E3" w14:textId="77777777" w:rsidR="00BA5CF6" w:rsidRPr="004C44CB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i/>
          <w:iCs/>
          <w:sz w:val="28"/>
          <w:szCs w:val="28"/>
        </w:rPr>
      </w:pPr>
      <w:r w:rsidRPr="004C44CB"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เรื่องสำคัญในการตรวจสอบ</w:t>
      </w:r>
    </w:p>
    <w:p w14:paraId="56783977" w14:textId="77777777" w:rsidR="00BA5CF6" w:rsidRPr="00996C0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5D416771" w14:textId="0BAAB9A1" w:rsidR="00BA5CF6" w:rsidRPr="002E1143" w:rsidRDefault="00BA5CF6" w:rsidP="001177A9">
      <w:pPr>
        <w:spacing w:after="0" w:line="240" w:lineRule="auto"/>
        <w:jc w:val="thaiDistribute"/>
        <w:rPr>
          <w:rFonts w:ascii="Browallia New" w:eastAsia="Calibri" w:hAnsi="Browallia New" w:cs="Browallia New"/>
          <w:spacing w:val="16"/>
          <w:sz w:val="28"/>
          <w:szCs w:val="28"/>
          <w:lang w:bidi="th-TH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เรื่องสำคัญในการตรวจสอบคือเร</w:t>
      </w:r>
      <w:r w:rsidR="00996517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องต่างๆ ท</w:t>
      </w:r>
      <w:r w:rsidR="00996517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2E1143">
        <w:rPr>
          <w:rFonts w:ascii="Browallia New" w:eastAsia="Calibri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สำหรับ</w:t>
      </w:r>
      <w:r w:rsidR="001177A9" w:rsidRPr="002E1143">
        <w:rPr>
          <w:rFonts w:ascii="Browallia New" w:eastAsia="Calibri" w:hAnsi="Browallia New" w:cs="Browallia New"/>
          <w:sz w:val="28"/>
          <w:szCs w:val="28"/>
          <w:cs/>
          <w:lang w:bidi="th-TH"/>
        </w:rPr>
        <w:t>ปีปัจจุบัน</w:t>
      </w:r>
      <w:r w:rsidRPr="002E114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ข้าพเจ้าได้นำเรื่องเหล่านี้ม</w:t>
      </w:r>
      <w:r w:rsidR="001177A9" w:rsidRPr="002E1143">
        <w:rPr>
          <w:rFonts w:ascii="Browallia New" w:eastAsia="Calibri" w:hAnsi="Browallia New" w:cs="Browallia New"/>
          <w:sz w:val="28"/>
          <w:szCs w:val="28"/>
          <w:cs/>
          <w:lang w:bidi="th-TH"/>
        </w:rPr>
        <w:t>า</w:t>
      </w:r>
      <w:r w:rsidRPr="00AC48F3">
        <w:rPr>
          <w:rFonts w:ascii="Browallia New" w:eastAsia="Calibri" w:hAnsi="Browallia New" w:cs="Browallia New"/>
          <w:spacing w:val="16"/>
          <w:sz w:val="28"/>
          <w:szCs w:val="28"/>
          <w:cs/>
          <w:lang w:bidi="th-TH"/>
        </w:rPr>
        <w:t>พิจารณาในบริบทของ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การตรวจสอบงบการเงิน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โดยรวมและในการแสดงความเห็นของ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ข้าพเจ้า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ทั้งนี้</w:t>
      </w:r>
      <w:r w:rsidR="009C44D6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ข้าพเจ้า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ไม่ได้แสดงความเห็นแยกต่างหากสำหรับเรื่องเหล่านี้</w:t>
      </w:r>
    </w:p>
    <w:p w14:paraId="312A3264" w14:textId="77777777" w:rsidR="00BA5CF6" w:rsidRPr="00851D8B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83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082"/>
      </w:tblGrid>
      <w:tr w:rsidR="00616F48" w:rsidRPr="00616F48" w14:paraId="77801AFF" w14:textId="77777777" w:rsidTr="00616F48">
        <w:trPr>
          <w:tblHeader/>
        </w:trPr>
        <w:tc>
          <w:tcPr>
            <w:tcW w:w="4261" w:type="dxa"/>
            <w:tcBorders>
              <w:bottom w:val="single" w:sz="4" w:space="0" w:color="auto"/>
            </w:tcBorders>
            <w:shd w:val="clear" w:color="auto" w:fill="5D3597"/>
          </w:tcPr>
          <w:p w14:paraId="3ADC0616" w14:textId="77777777" w:rsidR="00BA5CF6" w:rsidRPr="00A85E8A" w:rsidRDefault="00BA5CF6" w:rsidP="00CF6E4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color w:val="FFFFFF" w:themeColor="background1"/>
                <w:sz w:val="27"/>
                <w:szCs w:val="27"/>
                <w:rtl/>
                <w:cs/>
              </w:rPr>
            </w:pPr>
            <w:r w:rsidRPr="00A85E8A">
              <w:rPr>
                <w:rFonts w:ascii="Browallia New" w:hAnsi="Browallia New" w:cs="Browallia New"/>
                <w:b/>
                <w:bCs/>
                <w:color w:val="FFFFFF" w:themeColor="background1"/>
                <w:sz w:val="27"/>
                <w:szCs w:val="27"/>
                <w:cs/>
                <w:lang w:bidi="th-TH"/>
              </w:rPr>
              <w:t>เรื่องสำคัญจากการตรวจสอบ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5D3597"/>
          </w:tcPr>
          <w:p w14:paraId="25E25914" w14:textId="77777777" w:rsidR="00BA5CF6" w:rsidRPr="00A85E8A" w:rsidRDefault="00BA5CF6" w:rsidP="00CF6E4F">
            <w:pPr>
              <w:spacing w:after="0" w:line="240" w:lineRule="auto"/>
              <w:rPr>
                <w:rFonts w:ascii="Browallia New" w:hAnsi="Browallia New" w:cs="Browallia New"/>
                <w:b/>
                <w:bCs/>
                <w:color w:val="FFFFFF" w:themeColor="background1"/>
                <w:sz w:val="27"/>
                <w:szCs w:val="27"/>
              </w:rPr>
            </w:pPr>
            <w:r w:rsidRPr="00A85E8A">
              <w:rPr>
                <w:rFonts w:ascii="Browallia New" w:hAnsi="Browallia New" w:cs="Browallia New"/>
                <w:b/>
                <w:bCs/>
                <w:color w:val="FFFFFF" w:themeColor="background1"/>
                <w:sz w:val="27"/>
                <w:szCs w:val="27"/>
                <w:cs/>
                <w:lang w:bidi="th-TH"/>
              </w:rPr>
              <w:t>การตอบสนองความเสี่ยงโดยผู้สอบบัญชี</w:t>
            </w:r>
          </w:p>
        </w:tc>
      </w:tr>
      <w:tr w:rsidR="002631D9" w:rsidRPr="00AC48F3" w14:paraId="51DAA841" w14:textId="77777777" w:rsidTr="00CF6E4F">
        <w:tc>
          <w:tcPr>
            <w:tcW w:w="4261" w:type="dxa"/>
            <w:tcBorders>
              <w:bottom w:val="single" w:sz="4" w:space="0" w:color="auto"/>
            </w:tcBorders>
            <w:shd w:val="clear" w:color="auto" w:fill="auto"/>
          </w:tcPr>
          <w:p w14:paraId="0F70AFA5" w14:textId="27401787" w:rsidR="002631D9" w:rsidRPr="00BB01BE" w:rsidRDefault="002631D9" w:rsidP="002631D9">
            <w:pPr>
              <w:spacing w:before="240" w:after="0" w:line="240" w:lineRule="auto"/>
              <w:jc w:val="thaiDistribute"/>
              <w:rPr>
                <w:rFonts w:ascii="Browallia New" w:hAnsi="Browallia New" w:cs="Browallia New"/>
                <w:i/>
                <w:iCs/>
                <w:sz w:val="26"/>
                <w:szCs w:val="26"/>
                <w:lang w:val="en-US" w:bidi="th-TH"/>
              </w:rPr>
            </w:pP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การรับรู้รายได้จา</w:t>
            </w:r>
            <w:r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กการขายซึ่งรวมการ</w:t>
            </w: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ติดตั้ง</w:t>
            </w:r>
            <w:r w:rsidRPr="005E4F8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การวัดมูลค่าของงานระหว่างติดตั้ง</w:t>
            </w:r>
            <w:r w:rsidRPr="005E4F8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และ</w:t>
            </w:r>
            <w:r w:rsidRPr="005E4F8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การประมาณต้นทุนงาน</w:t>
            </w:r>
            <w:r w:rsidR="00780467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โครงการท</w:t>
            </w:r>
            <w:r w:rsidR="00A86D0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ี่</w:t>
            </w:r>
            <w:r w:rsidR="00780467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อยู่ระหว่างการ</w:t>
            </w:r>
            <w:r w:rsidRPr="005E4F8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ติดตั้ง</w:t>
            </w:r>
            <w:r w:rsidR="00B40A61" w:rsidRPr="001B72D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="00B40A61" w:rsidRPr="001B72D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ณ</w:t>
            </w:r>
            <w:r w:rsidR="00B40A61" w:rsidRPr="001B72DF">
              <w:rPr>
                <w:rFonts w:ascii="Browallia New" w:hAnsi="Browallia New" w:cs="Browallia New"/>
                <w:i/>
                <w:iCs/>
                <w:sz w:val="26"/>
                <w:szCs w:val="26"/>
                <w:cs/>
                <w:lang w:bidi="th-TH"/>
              </w:rPr>
              <w:t xml:space="preserve"> </w:t>
            </w:r>
            <w:r w:rsidR="00B40A61" w:rsidRPr="001B72D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วันสิ้น</w:t>
            </w:r>
            <w:r w:rsidR="00DC2839" w:rsidRPr="001B72DF">
              <w:rPr>
                <w:rFonts w:ascii="Browallia New" w:hAnsi="Browallia New" w:cs="Browallia New" w:hint="cs"/>
                <w:i/>
                <w:iCs/>
                <w:sz w:val="26"/>
                <w:szCs w:val="26"/>
                <w:cs/>
                <w:lang w:bidi="th-TH"/>
              </w:rPr>
              <w:t>ปี</w:t>
            </w:r>
          </w:p>
          <w:p w14:paraId="710F1924" w14:textId="77777777" w:rsidR="002631D9" w:rsidRPr="002B3556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i/>
                <w:iCs/>
                <w:sz w:val="28"/>
                <w:szCs w:val="28"/>
                <w:lang w:bidi="th-TH"/>
              </w:rPr>
            </w:pPr>
          </w:p>
          <w:p w14:paraId="6B446FDD" w14:textId="36D27C9B" w:rsidR="002631D9" w:rsidRPr="00F848CA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1734C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กลุ่มบริษัทและบริษัทรับรู้รายได้จาก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การขายซึ่งรวมการ</w:t>
            </w:r>
            <w:r w:rsidRPr="001734C7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ติดตั้ง</w:t>
            </w:r>
            <w:r w:rsidR="001E14A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สำหรับโครงการที่งานติดตั้งยังไม่แล้วเสร็จ</w:t>
            </w:r>
            <w:r w:rsidR="00B1219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ณ วันที่</w:t>
            </w:r>
            <w:r w:rsidRPr="001734C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1734C7">
              <w:rPr>
                <w:rFonts w:ascii="Browallia New" w:hAnsi="Browallia New" w:cs="Browallia New"/>
                <w:sz w:val="26"/>
                <w:szCs w:val="26"/>
              </w:rPr>
              <w:t xml:space="preserve">31 </w:t>
            </w:r>
            <w:r w:rsidRPr="001734C7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ธันวาคม </w:t>
            </w:r>
            <w:r w:rsidRPr="004B28B6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6D6895" w:rsidRPr="004B28B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4B28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E1143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จำนวน </w:t>
            </w:r>
            <w:r w:rsidR="004B28B6" w:rsidRPr="004B28B6">
              <w:rPr>
                <w:rFonts w:ascii="Browallia New" w:hAnsi="Browallia New" w:cs="Browallia New"/>
                <w:sz w:val="26"/>
                <w:szCs w:val="26"/>
                <w:lang w:bidi="th-TH"/>
              </w:rPr>
              <w:t>380</w:t>
            </w:r>
            <w:r w:rsidR="004B28B6" w:rsidRPr="004B28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4B28B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ล้านบาท</w:t>
            </w:r>
            <w:r w:rsidRPr="004B28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4B28B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และจำนวน </w:t>
            </w:r>
            <w:r w:rsidR="004B28B6" w:rsidRPr="004B28B6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338 </w:t>
            </w:r>
            <w:r w:rsidRPr="004B28B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ล้านบาท</w:t>
            </w:r>
            <w:r w:rsidRPr="004B28B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4B28B6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ตามลำดับ</w:t>
            </w:r>
            <w:r w:rsidR="009C4B42" w:rsidRPr="004B28B6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4B28B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ซึ่งบันทึก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รวมอยู่ในรายได้จากการขายและรายได้จากการติดตั้ง </w:t>
            </w:r>
            <w:r w:rsidR="00512F63">
              <w:rPr>
                <w:rFonts w:ascii="Browallia New" w:hAnsi="Browallia New" w:cs="Browallia New"/>
                <w:sz w:val="26"/>
                <w:szCs w:val="26"/>
                <w:lang w:bidi="th-TH"/>
              </w:rPr>
              <w:t>–</w:t>
            </w: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สุทธิ</w:t>
            </w:r>
            <w:r w:rsidR="00512F6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="00512F63" w:rsidRPr="00A50B9C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ซึ่ง</w:t>
            </w:r>
            <w:r w:rsidR="00512F63" w:rsidRPr="00AD0C6C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คิดเป็นสัดส่วนร้อยละ</w:t>
            </w:r>
            <w:r w:rsidR="00512F63" w:rsidRPr="00AD0C6C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 xml:space="preserve"> </w:t>
            </w:r>
            <w:r w:rsidR="00B83107" w:rsidRPr="002E1143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>7</w:t>
            </w:r>
            <w:r w:rsidR="00512F63" w:rsidRPr="002E1143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 xml:space="preserve"> </w:t>
            </w:r>
            <w:r w:rsidR="00512F63" w:rsidRPr="004B28B6">
              <w:rPr>
                <w:rFonts w:ascii="Browallia New" w:hAnsi="Browallia New" w:cs="Browallia New" w:hint="cs"/>
                <w:sz w:val="27"/>
                <w:szCs w:val="27"/>
                <w:cs/>
                <w:lang w:val="en-US" w:bidi="th-TH"/>
              </w:rPr>
              <w:t xml:space="preserve">และ </w:t>
            </w:r>
            <w:r w:rsidR="004B28B6" w:rsidRPr="002E1143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>6</w:t>
            </w:r>
            <w:r w:rsidR="00512F63" w:rsidRPr="004B28B6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 ของ</w:t>
            </w:r>
            <w:r w:rsidR="00512F63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รายได้</w:t>
            </w:r>
            <w:r w:rsidR="00512F63" w:rsidRPr="00AD0C6C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รวม</w:t>
            </w:r>
            <w:r w:rsidR="00512F63">
              <w:rPr>
                <w:rFonts w:ascii="Browallia New" w:hAnsi="Browallia New" w:cs="Browallia New"/>
                <w:sz w:val="27"/>
                <w:szCs w:val="27"/>
                <w:lang w:bidi="th-TH"/>
              </w:rPr>
              <w:t xml:space="preserve"> </w:t>
            </w:r>
            <w:r w:rsidR="00512F63" w:rsidRPr="00AD0C6C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 ตามลำดับ</w:t>
            </w:r>
          </w:p>
          <w:p w14:paraId="3B845FCE" w14:textId="49AB868A" w:rsidR="002631D9" w:rsidRPr="00B40A61" w:rsidRDefault="00C01802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</w:t>
            </w:r>
          </w:p>
          <w:p w14:paraId="605C38AD" w14:textId="42F011C6" w:rsidR="002631D9" w:rsidRPr="00F848CA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กลุ่มบริษัทรับรู้รายได้จาก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การขายพร้อม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ติดตั้งในงบกำไรขาดทุน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โดยใช้วิธีสำรวจงานที่ทำแล้ว</w:t>
            </w:r>
            <w:r w:rsidR="00B0396E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สำหรับงานโครงการที่ยังไม่แล้วเสร็จ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ซึ่งประมาณจากการสำรวจทางกายภาพโดยวิศวกรของกลุ่มบริษัท</w:t>
            </w:r>
            <w:r w:rsidR="00755E02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ควบคู่กับการคำนวณตามต้นทุนท</w:t>
            </w:r>
            <w:r w:rsidR="00F977C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เกิดขึ้นจริงเทียบกับประมาณการต้นทุนทั้งหมด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และบันทึกบัญชีต้นทุนของงานตามสัญญาเมื่อเกิดขึ้นจริงตามเกณฑ์สิทธิ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="00A83A5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ทั้ง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นี้</w:t>
            </w:r>
            <w:r w:rsidR="00A83A5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การประมาณการต้นทุน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ขายพร้อม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งานติดตั้งต้องใช้ดุลยพินิจค่อนข้างมาก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และต้องพิจารณาถึงการเปลี่ยนแปลงของปัจจัยแวดล้อมของงาน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รวมทั้งสภาพเศรษฐกิจและภาวะราคาตลาดของวัตถุดิบและแรงงานในอนาคต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ต้นทุนท</w:t>
            </w:r>
            <w:r w:rsidR="00F977C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เกิดขึ้นจริงอาจแตกต่างจากต้นทุนที่ประมาณการไว้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และอาจมีผลกระทบที่มีสาระสำคัญต่อกำไรขาดทุนในงวดปัจจุบัน</w:t>
            </w:r>
            <w:r w:rsidRPr="00F848CA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</w:p>
          <w:p w14:paraId="4CF732B1" w14:textId="77777777" w:rsidR="002631D9" w:rsidRPr="00F848CA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42609514" w14:textId="77777777" w:rsidR="002631D9" w:rsidRPr="00342B02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F848C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lastRenderedPageBreak/>
              <w:t>กลุ่มบริษัทและบริษัทได้เปิดเผยนโยบายการบัญชีที่เกี่ยวกับการรับรู้รายได้จากงานติดตั้งใน</w:t>
            </w:r>
            <w:r w:rsidRPr="001C17C5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หมายเหตุประกอบงบการเงินข้อ</w:t>
            </w:r>
            <w:r w:rsidRPr="001C17C5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t>3</w:t>
            </w:r>
          </w:p>
          <w:p w14:paraId="24E43D18" w14:textId="77777777" w:rsidR="002631D9" w:rsidRDefault="002631D9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sz w:val="27"/>
                <w:szCs w:val="27"/>
              </w:rPr>
            </w:pPr>
          </w:p>
          <w:p w14:paraId="57AFC363" w14:textId="7EF17267" w:rsidR="007D64DD" w:rsidRDefault="007D64DD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sz w:val="27"/>
                <w:szCs w:val="27"/>
              </w:rPr>
            </w:pPr>
          </w:p>
          <w:p w14:paraId="0FBEE04B" w14:textId="28AF4EED" w:rsidR="002E1143" w:rsidRDefault="002E1143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sz w:val="27"/>
                <w:szCs w:val="27"/>
              </w:rPr>
            </w:pPr>
          </w:p>
          <w:p w14:paraId="68739DFB" w14:textId="368095C1" w:rsidR="002E1143" w:rsidRDefault="002E1143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sz w:val="27"/>
                <w:szCs w:val="27"/>
              </w:rPr>
            </w:pPr>
          </w:p>
          <w:p w14:paraId="7DFDD258" w14:textId="0D7B73E1" w:rsidR="002E1143" w:rsidRDefault="002E1143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sz w:val="27"/>
                <w:szCs w:val="27"/>
              </w:rPr>
            </w:pPr>
          </w:p>
          <w:p w14:paraId="54194698" w14:textId="77777777" w:rsidR="002E1143" w:rsidRDefault="002E1143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sz w:val="27"/>
                <w:szCs w:val="27"/>
              </w:rPr>
            </w:pPr>
          </w:p>
          <w:p w14:paraId="7B0F8F78" w14:textId="77777777" w:rsidR="005537D0" w:rsidRDefault="005537D0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i/>
                <w:iCs/>
                <w:sz w:val="27"/>
                <w:szCs w:val="27"/>
                <w:lang w:bidi="th-TH"/>
              </w:rPr>
            </w:pPr>
          </w:p>
          <w:p w14:paraId="61DBDBA8" w14:textId="0E58ADC8" w:rsidR="007D64DD" w:rsidRDefault="007D64DD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i/>
                <w:iCs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i/>
                <w:iCs/>
                <w:sz w:val="27"/>
                <w:szCs w:val="27"/>
                <w:cs/>
                <w:lang w:bidi="th-TH"/>
              </w:rPr>
              <w:t>การวัดมูลค่าของสินค้าคงเหลือ</w:t>
            </w:r>
          </w:p>
          <w:p w14:paraId="2902343F" w14:textId="77777777" w:rsidR="007D64DD" w:rsidRDefault="007D64DD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i/>
                <w:iCs/>
                <w:sz w:val="27"/>
                <w:szCs w:val="27"/>
                <w:lang w:bidi="th-TH"/>
              </w:rPr>
            </w:pPr>
          </w:p>
          <w:p w14:paraId="4B104E18" w14:textId="2831143A" w:rsidR="00AD0C6C" w:rsidRPr="00AD0C6C" w:rsidRDefault="007D64DD" w:rsidP="00E454C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กลุ่มบริษัทและบริษัทมีสินค้าคงเหลือ ณ วันที่</w:t>
            </w:r>
            <w:r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 xml:space="preserve"> 31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 </w:t>
            </w:r>
            <w:r w:rsidRPr="00AF27E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ธันวาคม</w:t>
            </w:r>
            <w:r w:rsidRPr="00AF27E9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 xml:space="preserve"> 256</w:t>
            </w:r>
            <w:r w:rsidR="00845FE2" w:rsidRPr="00AF27E9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>5</w:t>
            </w:r>
            <w:r w:rsidRPr="00AF27E9">
              <w:rPr>
                <w:rFonts w:ascii="Browallia New" w:hAnsi="Browallia New" w:cs="Browallia New"/>
                <w:sz w:val="27"/>
                <w:szCs w:val="27"/>
                <w:lang w:bidi="th-TH"/>
              </w:rPr>
              <w:t xml:space="preserve"> </w:t>
            </w:r>
            <w:r w:rsidRPr="00AF27E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จำนวน </w:t>
            </w:r>
            <w:r w:rsidR="00AF27E9" w:rsidRPr="00AF27E9">
              <w:rPr>
                <w:rFonts w:ascii="Browallia New" w:hAnsi="Browallia New" w:cs="Browallia New"/>
                <w:sz w:val="27"/>
                <w:szCs w:val="27"/>
                <w:lang w:bidi="th-TH"/>
              </w:rPr>
              <w:t>1,746</w:t>
            </w:r>
            <w:r w:rsidR="00AF27E9" w:rsidRPr="00AF27E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 </w:t>
            </w:r>
            <w:r w:rsidRPr="00AF27E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ล้านบาท</w:t>
            </w:r>
            <w:r w:rsidRPr="00AF27E9">
              <w:rPr>
                <w:rFonts w:ascii="Browallia New" w:hAnsi="Browallia New" w:cs="Browallia New"/>
                <w:sz w:val="27"/>
                <w:szCs w:val="27"/>
                <w:lang w:bidi="th-TH"/>
              </w:rPr>
              <w:t xml:space="preserve"> </w:t>
            </w:r>
            <w:r w:rsidRPr="00AF27E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และ </w:t>
            </w:r>
            <w:r w:rsidR="00AF27E9" w:rsidRPr="002E1143">
              <w:rPr>
                <w:rFonts w:ascii="Browallia New" w:hAnsi="Browallia New" w:cs="Browallia New"/>
                <w:sz w:val="27"/>
                <w:szCs w:val="27"/>
                <w:lang w:bidi="th-TH"/>
              </w:rPr>
              <w:t>1,706</w:t>
            </w:r>
            <w:r w:rsidR="00AF27E9" w:rsidRPr="002E1143">
              <w:rPr>
                <w:rFonts w:ascii="Browallia New" w:hAnsi="Browallia New" w:cs="Browallia New"/>
                <w:sz w:val="27"/>
                <w:szCs w:val="27"/>
                <w:cs/>
                <w:lang w:bidi="th-TH"/>
              </w:rPr>
              <w:t xml:space="preserve"> </w:t>
            </w:r>
            <w:r w:rsidRPr="002E1143">
              <w:rPr>
                <w:rFonts w:ascii="Browallia New" w:hAnsi="Browallia New" w:cs="Browallia New"/>
                <w:sz w:val="27"/>
                <w:szCs w:val="27"/>
                <w:cs/>
                <w:lang w:bidi="th-TH"/>
              </w:rPr>
              <w:t>ล้า</w:t>
            </w:r>
            <w:r w:rsidRPr="00AF27E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นบาท</w:t>
            </w:r>
            <w:r w:rsidRPr="00AF27E9">
              <w:rPr>
                <w:rFonts w:ascii="Browallia New" w:hAnsi="Browallia New" w:cs="Browallia New"/>
                <w:sz w:val="27"/>
                <w:szCs w:val="27"/>
                <w:lang w:bidi="th-TH"/>
              </w:rPr>
              <w:t xml:space="preserve"> </w:t>
            </w:r>
            <w:r w:rsidRPr="00AF27E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ตามลำดับ</w:t>
            </w:r>
            <w:r w:rsidRPr="00AF27E9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 xml:space="preserve"> </w:t>
            </w:r>
            <w:r w:rsidR="00AD0C6C" w:rsidRPr="00AF27E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ซึ่งคิดเป็นสัดส่วนร้อยละ</w:t>
            </w:r>
            <w:r w:rsidR="00AD0C6C" w:rsidRPr="00AF27E9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 xml:space="preserve"> </w:t>
            </w:r>
            <w:r w:rsidR="00EE3D01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>40</w:t>
            </w:r>
            <w:r w:rsidR="00AD0C6C" w:rsidRPr="00AF27E9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 xml:space="preserve"> </w:t>
            </w:r>
            <w:r w:rsidR="00AD0C6C" w:rsidRPr="00AF27E9">
              <w:rPr>
                <w:rFonts w:ascii="Browallia New" w:hAnsi="Browallia New" w:cs="Browallia New" w:hint="cs"/>
                <w:sz w:val="27"/>
                <w:szCs w:val="27"/>
                <w:cs/>
                <w:lang w:val="en-US" w:bidi="th-TH"/>
              </w:rPr>
              <w:t xml:space="preserve">และ </w:t>
            </w:r>
            <w:r w:rsidR="00015C7C" w:rsidRPr="002E1143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>3</w:t>
            </w:r>
            <w:r w:rsidR="00AF27E9" w:rsidRPr="002E1143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>9</w:t>
            </w:r>
            <w:r w:rsidR="00AD0C6C" w:rsidRPr="00AF27E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 ของสินทรัพย์รวม ตามลำดับ</w:t>
            </w:r>
          </w:p>
          <w:p w14:paraId="0B7F323B" w14:textId="77777777" w:rsidR="00AD0C6C" w:rsidRDefault="00AD0C6C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</w:p>
          <w:p w14:paraId="6DEBCFE0" w14:textId="5B3A653C" w:rsidR="000E4CEA" w:rsidRDefault="00AD0C6C" w:rsidP="00E454C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สินค้าคงเหลือแสดงมูลค่าในงบการเงินด้วยราคาทุนหรือมูลค่าสุทธิท</w:t>
            </w:r>
            <w:r w:rsidR="007E0D32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คาดว่าจะได้รับ</w:t>
            </w:r>
            <w:r w:rsidR="00673BB3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แล้วแต่ราคาใดจะต่ำกว่า </w:t>
            </w:r>
            <w:r w:rsidR="006A5A30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ผู้บริหาร</w:t>
            </w:r>
            <w:r w:rsidR="00427CB6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ประมาณการมูลค่าสุทธิที่คาดว่าจะได้รับ</w:t>
            </w:r>
            <w:r w:rsidR="006B3C8F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ท</w:t>
            </w:r>
            <w:r w:rsidR="007E0D32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ี่</w:t>
            </w:r>
            <w:r w:rsidR="006B3C8F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คาดว่าจะได้ขายได้ตามปกติของธุรกิจ</w:t>
            </w:r>
            <w:r w:rsidR="00347C8E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 </w:t>
            </w:r>
            <w:r w:rsidR="006B3C8F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หักด้วยค่าใช้จ่ายท</w:t>
            </w:r>
            <w:r w:rsidR="007E0D32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ี่</w:t>
            </w:r>
            <w:r w:rsidR="006B3C8F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จำเป็นเพื่อให้สินค้านั้นพร้อมขาย รวมถึงค่าใช้จ่ายในการขาย เช่น ค่าขนส่ง เป็นต้น </w:t>
            </w:r>
          </w:p>
          <w:p w14:paraId="3BFF2E57" w14:textId="77777777" w:rsidR="000E4CEA" w:rsidRDefault="000E4CEA" w:rsidP="0026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</w:p>
          <w:p w14:paraId="58530A59" w14:textId="2E9F7E70" w:rsidR="007D64DD" w:rsidRDefault="006B3C8F" w:rsidP="00E454C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ผู้บริหาร</w:t>
            </w:r>
            <w:r w:rsidR="000E4CEA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กำหนดราคาขาย</w:t>
            </w:r>
            <w:r w:rsidR="0075202F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เหล็ก</w:t>
            </w:r>
            <w:r w:rsidR="000E4CEA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โดยอ้างอิงจากราคา</w:t>
            </w:r>
            <w:r w:rsidR="002D1713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ต</w:t>
            </w:r>
            <w:r w:rsidR="000E4CEA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ลาดในประเทศซึ่งมีผลกระทบ</w:t>
            </w:r>
            <w:r w:rsidR="002D1713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อย่างมาก</w:t>
            </w:r>
            <w:r w:rsidR="000E4CEA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จา</w:t>
            </w:r>
            <w:r w:rsidR="002D1713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กความ</w:t>
            </w:r>
            <w:r w:rsidR="00845FE2">
              <w:rPr>
                <w:rFonts w:ascii="Browallia New" w:hAnsi="Browallia New" w:cs="Browallia New"/>
                <w:sz w:val="27"/>
                <w:szCs w:val="27"/>
                <w:lang w:bidi="th-TH"/>
              </w:rPr>
              <w:br/>
            </w:r>
            <w:r w:rsidR="002D1713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ผันผวนของ</w:t>
            </w:r>
            <w:proofErr w:type="spellStart"/>
            <w:r w:rsidR="002D1713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อ</w:t>
            </w:r>
            <w:r w:rsidR="006D4FBF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ุป</w:t>
            </w:r>
            <w:proofErr w:type="spellEnd"/>
            <w:r w:rsidR="002D1713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สงค์และอุปทานในตลาดโลก สภาวะการแข่งขันทางการตลาด และ</w:t>
            </w:r>
            <w:r w:rsidR="005D10EC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สถานการณ์ภายในอุตสาหกรรม ซึ่งผู้บริหารจะ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ทำรายงานการคำนวณมูลค่าสุทธิ</w:t>
            </w:r>
            <w:r w:rsidR="00E2641E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ท</w:t>
            </w:r>
            <w:r w:rsidR="006F2EC8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ี่</w:t>
            </w:r>
            <w:r w:rsidR="00E2641E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คาดว่าจะได้รับ และประเมินความเพียงพอของค่าเผ</w:t>
            </w:r>
            <w:r w:rsidR="006F2EC8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ื่</w:t>
            </w:r>
            <w:r w:rsidR="00E2641E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อการลดลงของมูลค่าสุทธิท</w:t>
            </w:r>
            <w:r w:rsidR="006F2EC8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ี่</w:t>
            </w:r>
            <w:r w:rsidR="00E2641E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จะได้รับ ณ วันสิ้นรอบระยะเวลารายงาน</w:t>
            </w:r>
          </w:p>
          <w:p w14:paraId="73E15870" w14:textId="77777777" w:rsidR="00055090" w:rsidRDefault="00055090" w:rsidP="00E454C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</w:p>
          <w:p w14:paraId="31F92E88" w14:textId="1363C837" w:rsidR="00055090" w:rsidRDefault="00B433D2" w:rsidP="00E454C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อ้างอิงหมายเหตุประกอบงบการเงินข้อ</w:t>
            </w:r>
            <w:r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 xml:space="preserve"> </w:t>
            </w:r>
            <w:r w:rsidR="00FF4B2E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>9</w:t>
            </w:r>
            <w:r w:rsidR="00AC7B08"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  <w:t xml:space="preserve"> 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ซึ่งอธิบายเกี่ยวกับรายละเอียดในการกำหนดมูลค่าของสินค้าคงเหลือ</w:t>
            </w:r>
          </w:p>
          <w:p w14:paraId="3979DAD3" w14:textId="697B159E" w:rsidR="00252849" w:rsidRPr="00E04761" w:rsidRDefault="00252849" w:rsidP="00E454C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val="en-US" w:bidi="th-TH"/>
              </w:rPr>
            </w:pP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</w:tcPr>
          <w:p w14:paraId="0E4405DF" w14:textId="77777777" w:rsidR="002631D9" w:rsidRDefault="002631D9" w:rsidP="002631D9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62A1FB2D" w14:textId="77777777" w:rsidR="002631D9" w:rsidRDefault="002631D9" w:rsidP="002631D9">
            <w:pPr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7B2DCBE7" w14:textId="77777777" w:rsidR="002631D9" w:rsidRPr="002B3556" w:rsidRDefault="002631D9" w:rsidP="002631D9">
            <w:pPr>
              <w:spacing w:after="0"/>
              <w:jc w:val="thaiDistribute"/>
              <w:rPr>
                <w:rFonts w:ascii="Browallia New" w:hAnsi="Browallia New" w:cs="Browallia New"/>
                <w:sz w:val="10"/>
                <w:szCs w:val="10"/>
                <w:lang w:bidi="th-TH"/>
              </w:rPr>
            </w:pPr>
          </w:p>
          <w:p w14:paraId="26F465F7" w14:textId="5FE4645F" w:rsidR="002631D9" w:rsidRPr="007C0CC2" w:rsidRDefault="002631D9" w:rsidP="002631D9">
            <w:pPr>
              <w:spacing w:after="0"/>
              <w:jc w:val="thaiDistribute"/>
              <w:rPr>
                <w:rFonts w:ascii="Browallia New" w:hAnsi="Browallia New" w:cs="Browallia New"/>
                <w:szCs w:val="18"/>
                <w:lang w:bidi="th-TH"/>
              </w:rPr>
            </w:pPr>
          </w:p>
          <w:p w14:paraId="4184419B" w14:textId="77777777" w:rsidR="007C0CC2" w:rsidRPr="00845FE2" w:rsidRDefault="007C0CC2" w:rsidP="002631D9">
            <w:pPr>
              <w:spacing w:after="0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08F870C0" w14:textId="3919B7BF" w:rsidR="002631D9" w:rsidRPr="006A3CDD" w:rsidRDefault="002631D9" w:rsidP="002631D9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6A3CD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วิธีการตรวจสอบของข้าพเจ้า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โดยการสุ่มตัวอย่าง </w:t>
            </w:r>
            <w:r w:rsidR="001766CF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        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สรุป ได้ดังนี้</w:t>
            </w:r>
          </w:p>
          <w:p w14:paraId="3E0A3C2F" w14:textId="5659EDEF" w:rsidR="002631D9" w:rsidRDefault="002631D9" w:rsidP="002631D9">
            <w:pPr>
              <w:ind w:left="252" w:hanging="243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6A3CDD">
              <w:rPr>
                <w:rFonts w:ascii="Browallia New" w:hAnsi="Browallia New" w:cs="Browallia New" w:hint="eastAsia"/>
                <w:sz w:val="26"/>
                <w:szCs w:val="26"/>
                <w:cs/>
                <w:lang w:bidi="th-TH"/>
              </w:rPr>
              <w:t>•</w:t>
            </w: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6A3CD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ประเมินความเหมาะสมของวิธีการ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คำนวณ</w:t>
            </w:r>
            <w:r w:rsidRPr="006A3CD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อัตราส่วนของงาน</w:t>
            </w:r>
            <w:r w:rsidR="00585D4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ติดตั้ง</w:t>
            </w:r>
            <w:r w:rsidRPr="006A3CD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</w:t>
            </w:r>
            <w:r w:rsidR="00E32E7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Pr="006A3CD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ทำเสร็จ</w:t>
            </w:r>
            <w:r w:rsidR="007232F8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</w:t>
            </w:r>
            <w:r w:rsidR="00E32E7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Pr="006A3CD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ผู้บริหาร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ใช้ในการพิจารณารับรู้รายได้ตามส่วนงานท</w:t>
            </w:r>
            <w:r w:rsidR="00E32E7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สำเร็จ</w:t>
            </w:r>
            <w:r w:rsidR="003F125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สำหรับงานโครงการ</w:t>
            </w:r>
            <w:r w:rsidR="0056155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</w:t>
            </w:r>
            <w:r w:rsidR="00E32E7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="0056155C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ยังไม่แล้วเสร็จ</w:t>
            </w:r>
          </w:p>
          <w:p w14:paraId="29B3A706" w14:textId="553985A5" w:rsidR="002631D9" w:rsidRDefault="002631D9" w:rsidP="002631D9">
            <w:pPr>
              <w:ind w:left="252" w:hanging="243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6A3CDD">
              <w:rPr>
                <w:rFonts w:ascii="Browallia New" w:hAnsi="Browallia New" w:cs="Browallia New" w:hint="eastAsia"/>
                <w:sz w:val="26"/>
                <w:szCs w:val="26"/>
                <w:cs/>
                <w:lang w:bidi="th-TH"/>
              </w:rPr>
              <w:t>•</w:t>
            </w:r>
            <w:r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</w:t>
            </w:r>
            <w:r w:rsidR="00BB01BE" w:rsidRPr="001B72D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</w:t>
            </w:r>
            <w:r w:rsidR="00690525" w:rsidRPr="001B72D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ุ่ม</w:t>
            </w:r>
            <w:r w:rsidR="00F2306E" w:rsidRPr="001B72D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ตัวอย่าง</w:t>
            </w:r>
            <w:r w:rsidR="00690525" w:rsidRPr="001B72D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โครงการ</w:t>
            </w:r>
            <w:r w:rsidR="00F2306E" w:rsidRPr="001B72D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งานระหว่างติดต</w:t>
            </w:r>
            <w:r w:rsidR="00B368F1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ั้ง</w:t>
            </w:r>
            <w:r w:rsidR="00690525" w:rsidRPr="001B72D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</w:t>
            </w:r>
            <w:r w:rsidR="00EE18D8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="00690525" w:rsidRPr="001B72D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มีสาระสำคัญเพื่อ</w:t>
            </w:r>
            <w:r w:rsidRPr="001B72D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เข้า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ร่วมสังเกตการณ์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สำรวจทางกายภาพ</w:t>
            </w:r>
            <w:r w:rsidR="008D3CD8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ร่วมกับตัวแทนของบริษัทเพ</w:t>
            </w:r>
            <w:r w:rsidR="00DD14D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ื่</w:t>
            </w:r>
            <w:r w:rsidR="008D3CD8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อพิจารณา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สัดส่วนความสำเร็จ</w:t>
            </w:r>
            <w:r w:rsidR="00B8747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ของงานท</w:t>
            </w:r>
            <w:r w:rsidR="00DD14D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="00B87476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จัดทำสรุป</w:t>
            </w:r>
            <w:r w:rsidR="0059690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โดยบริษัท</w:t>
            </w:r>
            <w:r w:rsidR="0099029D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ณ วันสิ้นปี</w:t>
            </w:r>
            <w:r w:rsidR="00673BB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บัญชี</w:t>
            </w:r>
          </w:p>
          <w:p w14:paraId="6C1B63C0" w14:textId="27626550" w:rsidR="002631D9" w:rsidRDefault="002631D9" w:rsidP="002631D9">
            <w:pPr>
              <w:ind w:left="252" w:hanging="243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6A3CDD">
              <w:rPr>
                <w:rFonts w:ascii="Browallia New" w:hAnsi="Browallia New" w:cs="Browallia New" w:hint="eastAsia"/>
                <w:sz w:val="26"/>
                <w:szCs w:val="26"/>
                <w:cs/>
                <w:lang w:bidi="th-TH"/>
              </w:rPr>
              <w:t>•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ตรวจสอบหลักฐานการคำนวณประมาณการต้นทุนงานติดตั้ง</w:t>
            </w:r>
            <w:r w:rsidRPr="005E4F8F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รวมถึงต้นทุนท</w:t>
            </w:r>
            <w:r w:rsidR="00DD14D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เกิดขึ้นจริ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งและท</w:t>
            </w:r>
            <w:r w:rsidR="00DD14D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จะเกิดขึ้นในการทำงานให้เสร็จสิ้น</w:t>
            </w:r>
          </w:p>
          <w:p w14:paraId="71CE9D08" w14:textId="0D95088F" w:rsidR="002631D9" w:rsidRDefault="002631D9" w:rsidP="002631D9">
            <w:pPr>
              <w:ind w:left="252" w:hanging="243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6A3CDD">
              <w:rPr>
                <w:rFonts w:ascii="Browallia New" w:hAnsi="Browallia New" w:cs="Browallia New" w:hint="eastAsia"/>
                <w:sz w:val="26"/>
                <w:szCs w:val="26"/>
                <w:cs/>
                <w:lang w:bidi="th-TH"/>
              </w:rPr>
              <w:t>•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พิจารณาอัตราส่วนของต้นทุนท</w:t>
            </w:r>
            <w:r w:rsidR="00DD14D4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เกิดขึ้นจริงเปรียบเทียบกับประมาณการต้นทุนงานติดตั้ง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ทั้งหมด เพื่อพิจารณาว่าขั้นความสำเร็จของงานที่ใช้ในการบันทึกบัญชี 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สอดคล้องกับอัตราส่วนของงานท</w:t>
            </w:r>
            <w:r w:rsidR="00B74D7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ี่</w:t>
            </w:r>
            <w:r w:rsidRPr="005E4F8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ทำเสร็จโดยการสำรวจทางกายภาพ</w:t>
            </w:r>
            <w:r w:rsidR="007232F8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และมีการบันทึกบัญชี</w:t>
            </w:r>
            <w:r w:rsidR="0064354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อย่างเหมาะสม</w:t>
            </w:r>
          </w:p>
          <w:p w14:paraId="62CD17FB" w14:textId="7B23A042" w:rsidR="00406C44" w:rsidRPr="00406C44" w:rsidRDefault="00406C44" w:rsidP="006D4FBF">
            <w:pPr>
              <w:ind w:left="303" w:hanging="283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406C44">
              <w:rPr>
                <w:rFonts w:ascii="Browallia New" w:hAnsi="Browallia New" w:cs="Browallia New" w:hint="eastAsia"/>
                <w:sz w:val="26"/>
                <w:szCs w:val="26"/>
                <w:cs/>
                <w:lang w:bidi="th-TH"/>
              </w:rPr>
              <w:t>•</w:t>
            </w:r>
            <w:r w:rsidR="006D4FBF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  </w:t>
            </w:r>
            <w:r w:rsidRPr="00406C44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พิจารณาความเพียงพอของการเปิดเผยข้อมูลของบริษัทตามมาตรฐานการรายงานทางการเงิน</w:t>
            </w:r>
          </w:p>
          <w:p w14:paraId="6BF62754" w14:textId="711DDC49" w:rsidR="00406C44" w:rsidRDefault="00406C44" w:rsidP="002631D9">
            <w:pPr>
              <w:ind w:left="252" w:hanging="243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5BE944A2" w14:textId="68678BF3" w:rsidR="00E13BE4" w:rsidRDefault="00E13BE4" w:rsidP="002631D9">
            <w:pPr>
              <w:ind w:left="252" w:hanging="243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6076FA79" w14:textId="77777777" w:rsidR="0033294F" w:rsidRPr="00845FE2" w:rsidRDefault="0033294F" w:rsidP="002631D9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Cs w:val="18"/>
              </w:rPr>
            </w:pPr>
          </w:p>
          <w:p w14:paraId="484B4BC6" w14:textId="33B88537" w:rsidR="0033294F" w:rsidRDefault="0033294F" w:rsidP="002631D9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</w:p>
          <w:p w14:paraId="29DA2D8D" w14:textId="48DB5770" w:rsidR="0033294F" w:rsidRDefault="0033294F" w:rsidP="0033294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สอบถามผู้บริหารของบริษัท และสอบทานราคาตลาดปั</w:t>
            </w:r>
            <w:r w:rsidR="000237E0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จ</w:t>
            </w:r>
            <w:r w:rsidR="000237E0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ุบันและราคาที่ตกลงซื้อขายสินค้าล่วงหน้า (ถ้ามี)</w:t>
            </w:r>
            <w:r w:rsidR="00BF1F18">
              <w:rPr>
                <w:rFonts w:ascii="Browallia New" w:hAnsi="Browallia New" w:cs="Browallia New"/>
                <w:sz w:val="27"/>
                <w:szCs w:val="27"/>
                <w:lang w:bidi="th-TH"/>
              </w:rPr>
              <w:t xml:space="preserve"> </w:t>
            </w:r>
          </w:p>
          <w:p w14:paraId="41BCB832" w14:textId="21B62FF7" w:rsidR="000237E0" w:rsidRDefault="000237E0" w:rsidP="0033294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ประเมินการการควบคุมภายในแล</w:t>
            </w:r>
            <w:r w:rsidRPr="001F6F5E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ะทดสอบประสิทธิภาพของการควบคุมภายใน</w:t>
            </w:r>
          </w:p>
          <w:p w14:paraId="5C4A508D" w14:textId="10A8CD2F" w:rsidR="008E21B8" w:rsidRDefault="00C80651" w:rsidP="0033294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ตรวจสอบเนื้อหาสาระของการวัดมูลค่าสุทธิที่คาดว่าจะได้รับจาก</w:t>
            </w:r>
            <w:r w:rsidR="00347C8E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การขาย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สินค้าคงเหลือ</w:t>
            </w:r>
            <w:r w:rsidR="0041373D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 ณ วันสิ้นปี 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โดยการสุ่มตัวอย่าง</w:t>
            </w:r>
          </w:p>
          <w:p w14:paraId="4CF40685" w14:textId="65859533" w:rsidR="00E04761" w:rsidRDefault="00E04761" w:rsidP="0033294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สอบทานผลท</w:t>
            </w:r>
            <w:r w:rsidR="007E0D32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เกิดขึ้น</w:t>
            </w:r>
            <w:r w:rsidR="00977C5A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จริงในระหว่าง</w:t>
            </w:r>
            <w:r w:rsidR="007E0D32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ปี</w:t>
            </w:r>
            <w:r w:rsidR="00977C5A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กับประมาณการในอดีตของค่าเผ</w:t>
            </w:r>
            <w:r w:rsidR="002905A5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ื่</w:t>
            </w:r>
            <w:r w:rsidR="00977C5A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อการลดมูลค่าของสินค้าคงเหลือ</w:t>
            </w:r>
            <w:r w:rsidR="004B5E46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และแผนการดำเนินงาน</w:t>
            </w:r>
            <w:r w:rsidR="00693E07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ในอนาคตเพ</w:t>
            </w:r>
            <w:r w:rsidR="00DA34B3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ื่</w:t>
            </w:r>
            <w:r w:rsidR="00693E07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อประเมินความเหมาะสมของการประมาณการ</w:t>
            </w:r>
            <w:r w:rsidR="009D7C64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ของบริษัทเกี่ยวกับมูลค่าของสินค้าคงเหลือ</w:t>
            </w:r>
          </w:p>
          <w:p w14:paraId="3E3931E3" w14:textId="14E6449B" w:rsidR="00317B60" w:rsidRDefault="0041373D" w:rsidP="0033294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ประเมิน</w:t>
            </w:r>
            <w:r w:rsidR="00945C3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ความเพียงพอและเหมาะสมของค่าเผื่อการลดลงของ</w:t>
            </w:r>
            <w:r w:rsidR="0001047B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มูลค่าสินค้า</w:t>
            </w:r>
            <w:r w:rsidR="00945C39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 xml:space="preserve">ที่พิจารณาโดยผู้บริหาร </w:t>
            </w:r>
          </w:p>
          <w:p w14:paraId="12CCB223" w14:textId="60E29831" w:rsidR="00C80651" w:rsidRPr="0033294F" w:rsidRDefault="00945C39" w:rsidP="0033294F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7"/>
                <w:szCs w:val="27"/>
                <w:lang w:bidi="th-TH"/>
              </w:rPr>
            </w:pP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พิจารณาความเพียงพอของการเปิดเผยข้อมูลของบริษัทตามมาตรฐานการรายงานทาง</w:t>
            </w:r>
            <w:r w:rsidR="00986EC4"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การ</w:t>
            </w:r>
            <w:r>
              <w:rPr>
                <w:rFonts w:ascii="Browallia New" w:hAnsi="Browallia New" w:cs="Browallia New" w:hint="cs"/>
                <w:sz w:val="27"/>
                <w:szCs w:val="27"/>
                <w:cs/>
                <w:lang w:bidi="th-TH"/>
              </w:rPr>
              <w:t>เงิน</w:t>
            </w:r>
          </w:p>
        </w:tc>
      </w:tr>
    </w:tbl>
    <w:p w14:paraId="52109E4E" w14:textId="77777777" w:rsidR="00BA5CF6" w:rsidRDefault="00BA5CF6" w:rsidP="00BA5CF6">
      <w:pPr>
        <w:snapToGrid w:val="0"/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  <w:lang w:bidi="th-TH"/>
        </w:rPr>
      </w:pPr>
    </w:p>
    <w:p w14:paraId="36EEB189" w14:textId="77777777" w:rsidR="002631D9" w:rsidRDefault="002631D9">
      <w:pPr>
        <w:spacing w:after="0" w:line="240" w:lineRule="auto"/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</w:pPr>
      <w:r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br w:type="page"/>
      </w:r>
    </w:p>
    <w:p w14:paraId="6295F1E6" w14:textId="50B9A0CA" w:rsidR="00BA5CF6" w:rsidRPr="004C44CB" w:rsidRDefault="00BA5CF6" w:rsidP="00BA5CF6">
      <w:pPr>
        <w:snapToGrid w:val="0"/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</w:rPr>
      </w:pP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lastRenderedPageBreak/>
        <w:t>ข้อมูลอ</w:t>
      </w:r>
      <w:r w:rsidR="00B81466"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ื่</w:t>
      </w: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 xml:space="preserve">น </w:t>
      </w:r>
    </w:p>
    <w:p w14:paraId="2D6DDD0C" w14:textId="77777777" w:rsidR="00BA5CF6" w:rsidRPr="00AC48F3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6AC5DCB0" w14:textId="7070BCD8" w:rsidR="00BA5CF6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ผู้บริหารเป็นผู้รับผิดชอบ</w:t>
      </w:r>
      <w:r w:rsidR="00BF1F1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เกี่ยวกับ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ข้อมูลอื่น</w:t>
      </w:r>
      <w:r w:rsidRPr="00AC48F3">
        <w:rPr>
          <w:rFonts w:ascii="Browallia New" w:eastAsia="Calibri" w:hAnsi="Browallia New" w:cs="Browallia New"/>
          <w:sz w:val="28"/>
          <w:szCs w:val="28"/>
        </w:rPr>
        <w:t xml:space="preserve"> </w:t>
      </w:r>
      <w:r w:rsidR="00BF1F1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ซึ่ง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ประกอบด้วยข้อมูล</w:t>
      </w:r>
      <w:r w:rsidR="00BF1F1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ท</w:t>
      </w:r>
      <w:r w:rsidR="00B81466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รวมอยู่ในรายงานประจำปี</w:t>
      </w:r>
      <w:r w:rsidR="00DB4117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="00DB4117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นอกเหนือจาก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งบการเงิน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="004622C7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และรายงานของผู้สอบบัญชีที่อยู่ในรายงานนั้น</w:t>
      </w:r>
      <w:r w:rsidRPr="00AC48F3">
        <w:rPr>
          <w:rFonts w:ascii="Browallia New" w:eastAsia="Calibri" w:hAnsi="Browallia New" w:cs="Browallia New"/>
          <w:sz w:val="28"/>
          <w:szCs w:val="28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ซึ่งคาดว่า</w:t>
      </w:r>
      <w:r w:rsidR="00397FF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ผู้บริหาร</w:t>
      </w:r>
      <w:r w:rsidR="006A6739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จะจัด</w:t>
      </w:r>
      <w:r w:rsidR="00310390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ทำรายงานประจำปีและจัด</w:t>
      </w:r>
      <w:r w:rsidR="006A6739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สำเนา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ให้ข้าพเจ้า</w:t>
      </w:r>
      <w:r w:rsidR="00643543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สอบทาน</w:t>
      </w:r>
      <w:r w:rsidR="00310390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ได้</w:t>
      </w:r>
      <w:r w:rsidR="005A26A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หลังวันที่ในรายงานของผู้สอบบัญชีนี้</w:t>
      </w:r>
    </w:p>
    <w:p w14:paraId="43B04925" w14:textId="77777777" w:rsidR="00BA5CF6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5CF2D7FF" w14:textId="07274526" w:rsidR="00BA5CF6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ความเห็นของข้าพเจ้าต่องบการเงิน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="005A26A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AC48F3">
        <w:rPr>
          <w:rFonts w:ascii="Browallia New" w:eastAsia="Calibri" w:hAnsi="Browallia New" w:cs="Browallia New"/>
          <w:sz w:val="28"/>
          <w:szCs w:val="28"/>
        </w:rPr>
        <w:t xml:space="preserve"> </w:t>
      </w:r>
    </w:p>
    <w:p w14:paraId="6B553D62" w14:textId="77777777" w:rsidR="00BA5CF6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4020BA15" w14:textId="14540DF2" w:rsidR="00BA5CF6" w:rsidRPr="00AC48F3" w:rsidRDefault="00731930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ใน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การตรวจสอบงบการเงิน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รวมและเฉพาะของบริษัท 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ข้าพเจ้ามีส่วนรับผิดชอบใน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การอ่านข้อมูลอ</w:t>
      </w:r>
      <w:r w:rsidR="00357080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นตามท</w:t>
      </w:r>
      <w:r w:rsidR="00357080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ี่ร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ะบุข้างต้น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ด้วย</w:t>
      </w:r>
      <w:r w:rsidR="005A26A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="00357080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เมื่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</w:t>
      </w:r>
      <w:r w:rsidR="005A26A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บริษัท</w:t>
      </w:r>
      <w:r w:rsidR="00643543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ได้มีการ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จัดทำแล้ว และพิจารณาว่าข้อมู</w:t>
      </w:r>
      <w:r w:rsidR="00357080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ล</w:t>
      </w:r>
      <w:r w:rsidR="00357080">
        <w:rPr>
          <w:rFonts w:ascii="Browallia New" w:eastAsia="Calibri" w:hAnsi="Browallia New" w:cs="Browallia New" w:hint="cs"/>
          <w:sz w:val="28"/>
          <w:szCs w:val="28"/>
          <w:cs/>
          <w:lang w:val="en-US" w:bidi="th-TH"/>
        </w:rPr>
        <w:t>อื่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นมีความขัดแย้งท</w:t>
      </w:r>
      <w:r w:rsidR="00357080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มีสาระสำคัญกับ</w:t>
      </w:r>
      <w:r w:rsidR="005A26A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ข้อมูลใน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งบการเงิน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หรือกับความ</w:t>
      </w:r>
      <w:r w:rsidR="006B5D82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เข้าใจ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ที่</w:t>
      </w:r>
      <w:r w:rsidR="006B5D82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ข้าพเจ้า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ได้รับจากการตรวจสอบ</w:t>
      </w:r>
      <w:r w:rsidR="004622C7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หรือไม่</w:t>
      </w:r>
      <w:r w:rsidR="00BA5CF6" w:rsidRPr="00AC48F3">
        <w:rPr>
          <w:rFonts w:ascii="Browallia New" w:eastAsia="Calibri" w:hAnsi="Browallia New" w:cs="Browallia New"/>
          <w:sz w:val="28"/>
          <w:szCs w:val="28"/>
        </w:rPr>
        <w:t xml:space="preserve"> </w:t>
      </w:r>
      <w:r w:rsidR="00BA5CF6"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="00BA5CF6" w:rsidRPr="00AC48F3">
        <w:rPr>
          <w:rFonts w:ascii="Browallia New" w:eastAsia="Calibri" w:hAnsi="Browallia New" w:cs="Browallia New"/>
          <w:sz w:val="28"/>
          <w:szCs w:val="28"/>
        </w:rPr>
        <w:t xml:space="preserve"> </w:t>
      </w:r>
    </w:p>
    <w:p w14:paraId="428F9D9B" w14:textId="77777777" w:rsidR="00BA5CF6" w:rsidRPr="00AC48F3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1A9E2551" w14:textId="6B252244" w:rsidR="00BA5CF6" w:rsidRPr="00AC48F3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เม</w:t>
      </w:r>
      <w:r w:rsidR="005A7B0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อข้าพเจ้าได้อ่านรายงานประจำปี หากข้าพเจ้าสรุปได้ว่ามีการแสดงข้อมูลท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ขัดต่อข้อเท็จจริงอันเป็นสาระสำคัญ ข้าพเจ้าต้องส</w:t>
      </w:r>
      <w:r w:rsidR="00E94953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อสารเร</w:t>
      </w:r>
      <w:r w:rsidR="00E94953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องดังกล่าวกับผู้มีหน้าท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ในการกำกับดูแลเพ</w:t>
      </w:r>
      <w:r w:rsidR="00E94953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อให้ผู้มีหน้าท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ในการกำกับดูแลดำเนินการแก้ไขข้อมูลที่แสดงขัดต่อข้อเท็จจริง</w:t>
      </w:r>
      <w:r w:rsidR="00310390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ให้ถูกต้อง</w:t>
      </w:r>
    </w:p>
    <w:p w14:paraId="400A5E61" w14:textId="77777777" w:rsidR="00BA5CF6" w:rsidRPr="00AC48F3" w:rsidRDefault="00BA5CF6" w:rsidP="00BA5CF6">
      <w:pPr>
        <w:spacing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</w:rPr>
      </w:pPr>
    </w:p>
    <w:p w14:paraId="68D393CA" w14:textId="0AA082AB" w:rsidR="00BA5CF6" w:rsidRPr="004C44CB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i/>
          <w:iCs/>
          <w:sz w:val="28"/>
          <w:szCs w:val="28"/>
        </w:rPr>
      </w:pP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ความรับผิดชอบของผู้บริหารและผู้มีหน้า</w:t>
      </w:r>
      <w:r w:rsidR="00E94953"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ท</w:t>
      </w:r>
      <w:r w:rsidR="00B81466"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ี่</w:t>
      </w: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กำกับดูแล</w:t>
      </w:r>
      <w:r w:rsidR="00C84041"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ในการจัดทำ</w:t>
      </w:r>
      <w:r w:rsidRPr="004C44CB">
        <w:rPr>
          <w:rFonts w:ascii="Browallia New" w:eastAsia="Calibri" w:hAnsi="Browallia New" w:cs="Browallia New"/>
          <w:i/>
          <w:iCs/>
          <w:sz w:val="28"/>
          <w:szCs w:val="28"/>
          <w:cs/>
          <w:lang w:bidi="th-TH"/>
        </w:rPr>
        <w:t>งบการเงิน</w:t>
      </w:r>
    </w:p>
    <w:p w14:paraId="17D9A372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136017F2" w14:textId="04A734B6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ผู้บริหารมีหน้าท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รับผิดชอบในการจัดทำและนำเสนองบการเงิน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="00C84041">
        <w:rPr>
          <w:rFonts w:ascii="Browallia New" w:hAnsi="Browallia New" w:cs="Browallia New" w:hint="cs"/>
          <w:sz w:val="28"/>
          <w:szCs w:val="28"/>
          <w:cs/>
          <w:lang w:bidi="th-TH"/>
        </w:rPr>
        <w:t>โ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ดยถูกต้องตามท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ควรตามมาตรฐานการรายงานทางการเงิน และรับผิดชอบเก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ยวกับการควบคุมภายในท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ผู้บริหารพิจารณาว่าจำเป็นเพ</w:t>
      </w:r>
      <w:r w:rsidR="009A5F2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อให้สามารถจัดทำงบการเงิน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ปราศจากการแสดงข้อมูลที่ขัดต่อข้อเท็จจริงอันเป็นสาระสำคัญ</w:t>
      </w:r>
      <w:r w:rsidR="005A26A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ไม่ว่าจะเกิดจากการทุจริตหรือข้อผิดพลาด </w:t>
      </w:r>
    </w:p>
    <w:p w14:paraId="688355FC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118691CC" w14:textId="34F6C9F3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ในการจัดทำงบการเงิน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 ผู้บริหารรับผิดชอบในการประเมินความสามารถของกลุ่มบริษัทในการดำเนินงานต่อเนื่อง การเปิดเผยเร</w:t>
      </w:r>
      <w:r w:rsidR="008F343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องท</w:t>
      </w:r>
      <w:r w:rsidR="008F343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เก</w:t>
      </w:r>
      <w:r w:rsidR="008F343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ยวกับการดำเนินงานต่อเน</w:t>
      </w:r>
      <w:r w:rsidR="008F343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องในกรณีที่มีเรื่องดังกล่าว และการใช้เกณฑ์การบัญชีสำหรับการดำเนินงานต่อเนื่อง</w:t>
      </w:r>
      <w:r w:rsidR="00ED788D">
        <w:rPr>
          <w:rFonts w:ascii="Browallia New" w:eastAsia="Calibri" w:hAnsi="Browallia New" w:cs="Browallia New"/>
          <w:sz w:val="28"/>
          <w:szCs w:val="28"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เว้นแต่ผู้บริหารมีความตั้งใจที่จะเลิกกลุ่มบริษัท หรือหยุดดำเนินงานหรือไม่สามารถดำเนินงานต่อเนื่องต่อไปได้</w:t>
      </w:r>
    </w:p>
    <w:p w14:paraId="7293EC23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2FD7014A" w14:textId="080D3A0B" w:rsidR="00BA5CF6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ผู้มีหน้าท</w:t>
      </w:r>
      <w:r w:rsidR="00711A14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ในการกำกับดูแล</w:t>
      </w:r>
      <w:r w:rsidR="005A26A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มีหน้าท</w:t>
      </w:r>
      <w:r w:rsidR="008F3438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</w:t>
      </w:r>
      <w:r w:rsidR="005A7EB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กำกับ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ดูแลกระบวนการในการจัดทำรายงานทางการเงินของ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        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กลุ่มบริษัท</w:t>
      </w:r>
    </w:p>
    <w:p w14:paraId="6659300C" w14:textId="77777777" w:rsidR="00BA5CF6" w:rsidRDefault="00BA5CF6" w:rsidP="00BA5CF6">
      <w:pPr>
        <w:spacing w:after="0" w:line="240" w:lineRule="auto"/>
        <w:rPr>
          <w:rFonts w:ascii="Browallia New" w:hAnsi="Browallia New" w:cs="Browallia New"/>
          <w:i/>
          <w:iCs/>
          <w:sz w:val="28"/>
          <w:szCs w:val="28"/>
          <w:lang w:bidi="th-TH"/>
        </w:rPr>
      </w:pPr>
    </w:p>
    <w:p w14:paraId="5136C592" w14:textId="77777777" w:rsidR="002631D9" w:rsidRDefault="002631D9">
      <w:pPr>
        <w:spacing w:after="0" w:line="240" w:lineRule="auto"/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</w:pP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br w:type="page"/>
      </w:r>
    </w:p>
    <w:p w14:paraId="06953719" w14:textId="6FF57E3E" w:rsidR="00BA5CF6" w:rsidRPr="004C44CB" w:rsidRDefault="00BA5CF6" w:rsidP="00BA5CF6">
      <w:pPr>
        <w:spacing w:after="0" w:line="240" w:lineRule="auto"/>
        <w:rPr>
          <w:rFonts w:ascii="Browallia New" w:hAnsi="Browallia New" w:cs="Browallia New"/>
          <w:i/>
          <w:iCs/>
          <w:sz w:val="28"/>
          <w:szCs w:val="28"/>
        </w:rPr>
      </w:pPr>
      <w:r w:rsidRPr="004C44CB"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lastRenderedPageBreak/>
        <w:t>ความรับผิดชอบของผู้สอบบัญชี</w:t>
      </w:r>
      <w:r w:rsidR="00C84041" w:rsidRPr="004C44CB"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ใน</w:t>
      </w:r>
      <w:r w:rsidRPr="004C44CB"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การตรวจสอบงบการเงิน</w:t>
      </w:r>
    </w:p>
    <w:p w14:paraId="256F5B6D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59072472" w14:textId="7FF2B2C6" w:rsidR="00A1213F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</w:t>
      </w:r>
      <w:r w:rsidR="00B05DA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เพื่อแสดง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ความเห็นของข้าพเจ้า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ลต่อการตัดสินใจ</w:t>
      </w:r>
      <w:r w:rsidR="00B05DA1">
        <w:rPr>
          <w:rFonts w:ascii="Browallia New" w:hAnsi="Browallia New" w:cs="Browallia New" w:hint="cs"/>
          <w:sz w:val="28"/>
          <w:szCs w:val="28"/>
          <w:cs/>
          <w:lang w:bidi="th-TH"/>
        </w:rPr>
        <w:t>เชิง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เศรษฐกิจของผู้ใช้งบการเงินจากการใช้งบการเงินรวมและเฉพาะของบริษัท</w:t>
      </w:r>
      <w:r w:rsidR="001D705A">
        <w:rPr>
          <w:rFonts w:ascii="Browallia New" w:hAnsi="Browallia New" w:cs="Browallia New" w:hint="cs"/>
          <w:sz w:val="28"/>
          <w:szCs w:val="28"/>
          <w:cs/>
          <w:lang w:bidi="th-TH"/>
        </w:rPr>
        <w:t>เหล่านี้</w:t>
      </w:r>
    </w:p>
    <w:p w14:paraId="4E60B6D2" w14:textId="77777777" w:rsidR="002631D9" w:rsidRDefault="002631D9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61119E8B" w14:textId="51FAF6F2" w:rsidR="00740A8A" w:rsidRDefault="00740A8A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</w:t>
      </w:r>
      <w:r w:rsidR="00690D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การสังเกต</w:t>
      </w:r>
      <w:r w:rsidR="00690D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และ</w:t>
      </w:r>
      <w:r w:rsidR="00690D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การตั้งข้อ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สงสัยเยี่ยงผู้ประกอบวิชาชีพ</w:t>
      </w:r>
      <w:r w:rsidR="005A26A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ตลอดการตรวจสอบ การปฏิบัติงานของข้าพเจ้ารวมถึง</w:t>
      </w:r>
    </w:p>
    <w:p w14:paraId="62665CD5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0C044C0C" w14:textId="37F9A717" w:rsidR="00BA5CF6" w:rsidRPr="00AC48F3" w:rsidRDefault="00BA5CF6" w:rsidP="00BA5CF6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="005A26A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ไม่ว่าจะเกิดจากการทุจริตหรือข้อผิดพลาด ออกแบบและปฏิบัติงานตามวิธีการตรวจสอบเพ</w:t>
      </w:r>
      <w:r w:rsidR="003E0E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อตอบสนองต่อความเส</w:t>
      </w:r>
      <w:r w:rsidR="003E0E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ยงเหล่านั้น </w:t>
      </w:r>
      <w:r w:rsidR="00690D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เพ</w:t>
      </w:r>
      <w:r w:rsidR="003E0E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="00690D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อให้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ได้หลักฐานการสอบบัญชีท</w:t>
      </w:r>
      <w:r w:rsidR="003E0E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เพียงพอและเหมาะสมเพ</w:t>
      </w:r>
      <w:r w:rsidR="003E0E3A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 xml:space="preserve">อเป็นเกณฑ์ในการแสดงความเห็นของข้าพเจ้า 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ความเส</w:t>
      </w:r>
      <w:r w:rsidR="00732A62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ยงที่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ไม่พบข้อมูลท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ขัดต่อข้อเท็จจริงอันเป็นสาระสำคัญซ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ึ่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งเป็นผลมาจากการทุจริตจะสูงกว่าความเส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ยงท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เกิดจากข้อผิดพลาด เน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องจากการทุจริตอาจเก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ยวกับการสมรู้ร่วมคิด การปลอมแปลงเอกสารหลักฐาน การตั้งใจละเว้นการแสดงข้อมูล การแสดงข้อมูลท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ไม่ตรงตามข้อเท็จจริงหรือการแทรกแซงการควบคุมภ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ายใน</w:t>
      </w:r>
    </w:p>
    <w:p w14:paraId="1BE614B8" w14:textId="34301206" w:rsidR="00BA5CF6" w:rsidRPr="00AC48F3" w:rsidRDefault="00BA5CF6" w:rsidP="00BA5CF6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ทำความเข้าใจในระบบการควบคุมภายในท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เกี่ยวข้องกับการตรวจสอบ เพื่อออกแบบวิธีการตรวจสอบท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</w:p>
    <w:p w14:paraId="64B59EB3" w14:textId="33303856" w:rsidR="00BA5CF6" w:rsidRPr="00AC48F3" w:rsidRDefault="00BA5CF6" w:rsidP="00BA5CF6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ประเมินความเหมาะสมของนโยบายการบัญชีท</w:t>
      </w:r>
      <w:r w:rsidR="00AC1EC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ผู้บริหารใช้และความสมเหตุสมผลของประมาณการทางบัญชีและการเปิดเ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ผยข้อมูลที่เกี่ยวข้องซึ่งจัดทำขึ้นโดยผู้บริหาร </w:t>
      </w:r>
    </w:p>
    <w:p w14:paraId="26961A49" w14:textId="055A9A06" w:rsidR="00BA5CF6" w:rsidRDefault="00BA5CF6" w:rsidP="00BA5CF6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hAnsi="Browallia New" w:cs="Browallia New"/>
          <w:sz w:val="28"/>
          <w:szCs w:val="28"/>
        </w:rPr>
      </w:pP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สรุปเกี่ยวกับความเหมาะสมของการใช้เกณฑ์การบัญชีสำหรับการดำเนินงานต่อเน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องของผู้บริหารและจากหลักฐานการสอบบัญชีท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ได้</w:t>
      </w:r>
      <w:r w:rsidR="005A26AB">
        <w:rPr>
          <w:rFonts w:ascii="Browallia New" w:hAnsi="Browallia New" w:cs="Browallia New" w:hint="cs"/>
          <w:sz w:val="28"/>
          <w:szCs w:val="28"/>
          <w:cs/>
          <w:lang w:bidi="th-TH"/>
        </w:rPr>
        <w:t>รวบรวมมา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 สรุปว่ามีความไม่แน่นอนท</w:t>
      </w:r>
      <w:r w:rsidR="002422CD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มีสาระสำคัญท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เก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ยวกับเหตุการณ์หรือสถานการณ์ท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อาจเป็นเหตุให้เกิดข้อสงสัยอย่างมีนัยสำคัญต่อความสามารถของกลุ่มบริษัทในการดำเนินงานต่อเน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องหรือไม่ ถ้าข้าพเจ้าได้ข้อสรุปว่ามีความไม่แน่นอนท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มีสาระสำคัญ ข้าพเจ้าต้องกล่าวไว้ในรายงานของผู้สอบบัญชีของข้าพเจ้า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โดยให้ข้อสังเกต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ถึงการเปิดเผยข้อมูล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ใน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งบการเงิน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รวมและเฉพาะของบริษัท</w:t>
      </w:r>
      <w:r w:rsidR="005A26A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ท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เก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ยวข้อง หรือถ้าการเปิดเผยข้อมูลดังกล่าวไม่เพียงพอ ความเห็นของข้าพเจ้าจะเปล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ยนแปลงไป ข้อสรุปของข้าพเจ้าขึ้นอยู่กับหลักฐานการสอบบัญชีท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ได้ร</w:t>
      </w:r>
      <w:r w:rsidR="00690D3A">
        <w:rPr>
          <w:rFonts w:ascii="Browallia New" w:hAnsi="Browallia New" w:cs="Browallia New" w:hint="cs"/>
          <w:sz w:val="28"/>
          <w:szCs w:val="28"/>
          <w:cs/>
          <w:lang w:bidi="th-TH"/>
        </w:rPr>
        <w:t>วบรวมมา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จนถึงวันท</w:t>
      </w:r>
      <w:r w:rsidR="00AC1EC1"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 </w:t>
      </w:r>
    </w:p>
    <w:p w14:paraId="677B3384" w14:textId="68B61679" w:rsidR="00BA5CF6" w:rsidRDefault="00BA5CF6" w:rsidP="00BA5CF6">
      <w:pPr>
        <w:numPr>
          <w:ilvl w:val="0"/>
          <w:numId w:val="34"/>
        </w:numPr>
        <w:spacing w:after="0" w:line="240" w:lineRule="auto"/>
        <w:ind w:left="567" w:hanging="567"/>
        <w:contextualSpacing/>
        <w:jc w:val="thaiDistribute"/>
        <w:rPr>
          <w:rFonts w:ascii="Browallia New" w:hAnsi="Browallia New" w:cs="Browallia New"/>
          <w:sz w:val="28"/>
          <w:szCs w:val="28"/>
        </w:rPr>
      </w:pP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lastRenderedPageBreak/>
        <w:t>ประเมินการนำเสนอ</w:t>
      </w:r>
      <w:r w:rsidR="00863A3E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โครงสร้างและเนื้อหาของงบการเงินรวมและเฉพาะของบริษัทโดยรวม รวมถึงการเปิดเผยข้อมูลว่างบการเงินรวมและ</w:t>
      </w:r>
      <w:r w:rsidR="00081D85">
        <w:rPr>
          <w:rFonts w:ascii="Browallia New" w:hAnsi="Browallia New" w:cs="Browallia New" w:hint="cs"/>
          <w:sz w:val="28"/>
          <w:szCs w:val="28"/>
          <w:cs/>
          <w:lang w:bidi="th-TH"/>
        </w:rPr>
        <w:t>เ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ฉพาะของบริษัทแสดงรายการและเหตุการณ์ในรูปแบบที่ทำให้มีการนำเสนอข้อมูลโดยถูกต้องตามที่ควร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หรือไม่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   </w:t>
      </w:r>
    </w:p>
    <w:p w14:paraId="2C891752" w14:textId="225065D4" w:rsidR="002E1143" w:rsidRDefault="002E1143" w:rsidP="002E1143">
      <w:pPr>
        <w:spacing w:after="0" w:line="240" w:lineRule="auto"/>
        <w:contextualSpacing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015F42F9" w14:textId="77777777" w:rsidR="002E1143" w:rsidRPr="00AC48F3" w:rsidRDefault="002E1143" w:rsidP="002E1143">
      <w:pPr>
        <w:spacing w:after="0" w:line="240" w:lineRule="auto"/>
        <w:contextualSpacing/>
        <w:jc w:val="thaiDistribute"/>
        <w:rPr>
          <w:rFonts w:ascii="Browallia New" w:hAnsi="Browallia New" w:cs="Browallia New"/>
          <w:sz w:val="28"/>
          <w:szCs w:val="28"/>
        </w:rPr>
      </w:pPr>
    </w:p>
    <w:p w14:paraId="7C74365A" w14:textId="71230364" w:rsidR="00BA5CF6" w:rsidRPr="00AC48F3" w:rsidRDefault="00690D3A" w:rsidP="00BA5CF6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40" w:hanging="540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รวบรวม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หลักฐานการสอบบัญชีที่เหมาะสมอย่างเพียงพอเกี่ยวกับข้อมูลทางการเงินของบริษัทภายในกลุ่ม</w:t>
      </w:r>
      <w:r w:rsidR="000A7022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หรือกิจกรรมทางธุรกิจภายในกลุ่มบริษัท</w:t>
      </w:r>
      <w:r w:rsidR="000A7022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เพ</w:t>
      </w:r>
      <w:r w:rsidR="004A5CD3"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อแสดงความเห็นต่องบการเงิน</w:t>
      </w:r>
      <w:r w:rsidR="000A7022">
        <w:rPr>
          <w:rFonts w:ascii="Browallia New" w:hAnsi="Browallia New" w:cs="Browallia New" w:hint="cs"/>
          <w:sz w:val="28"/>
          <w:szCs w:val="28"/>
          <w:cs/>
          <w:lang w:bidi="th-TH"/>
        </w:rPr>
        <w:t>โดย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รวม</w:t>
      </w:r>
      <w:r w:rsidR="00BA5CF6" w:rsidRPr="00AC48F3">
        <w:rPr>
          <w:rFonts w:ascii="Browallia New" w:hAnsi="Browallia New" w:cs="Browallia New"/>
          <w:sz w:val="28"/>
          <w:szCs w:val="28"/>
        </w:rPr>
        <w:t xml:space="preserve"> 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ข้าพเจ้ารับผิดชอบต่อการกำหนดแนวทาง การควบคุมดูแล และการปฏิบัติงานตรวจสอบกลุ่มบริษัท</w:t>
      </w:r>
      <w:r w:rsidR="00BA5CF6" w:rsidRPr="00AC48F3">
        <w:rPr>
          <w:rFonts w:ascii="Browallia New" w:hAnsi="Browallia New" w:cs="Browallia New"/>
          <w:sz w:val="28"/>
          <w:szCs w:val="28"/>
        </w:rPr>
        <w:t xml:space="preserve"> 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ข้าพเจ้า</w:t>
      </w:r>
      <w:r w:rsidR="000F3516">
        <w:rPr>
          <w:rFonts w:ascii="Browallia New" w:hAnsi="Browallia New" w:cs="Browallia New" w:hint="cs"/>
          <w:sz w:val="28"/>
          <w:szCs w:val="28"/>
          <w:cs/>
          <w:lang w:bidi="th-TH"/>
        </w:rPr>
        <w:t>เป็น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ผู้รับผิดชอบแต่เพียงผู้เดียวต่อความเห็นของข้าพเจ้า</w:t>
      </w:r>
      <w:r w:rsidR="00BA5CF6" w:rsidRPr="00AC48F3">
        <w:rPr>
          <w:rFonts w:ascii="Browallia New" w:hAnsi="Browallia New" w:cs="Browallia New"/>
          <w:sz w:val="28"/>
          <w:szCs w:val="28"/>
        </w:rPr>
        <w:t xml:space="preserve"> </w:t>
      </w:r>
    </w:p>
    <w:p w14:paraId="6C76DB8B" w14:textId="77777777" w:rsidR="00C22B53" w:rsidRDefault="00C22B53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  <w:lang w:bidi="th-TH"/>
        </w:rPr>
      </w:pPr>
    </w:p>
    <w:p w14:paraId="0800F0C5" w14:textId="674608BD" w:rsidR="002053D2" w:rsidRPr="00AC48F3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ข้าพเจ้าได้สื่อสารกับผู้มีหน้าที่ในการกำกับดูแล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ในเรื่องต่าง</w:t>
      </w:r>
      <w:r w:rsidR="00FA0CF1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ๆ</w:t>
      </w:r>
      <w:r w:rsidR="00983709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ที่สำคัญซึ่งรวมถึง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ขอบเขตและช่วงเวลาของการตรวจสอบตามที่ได้วางแผนไว้ ประเด็นที่มีนัยสำคัญท</w:t>
      </w:r>
      <w:r w:rsidR="001E17B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พบจากการตรวจสอบ</w:t>
      </w:r>
      <w:r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รวมถึงข้อบกพร่องที่มี</w:t>
      </w:r>
      <w:r>
        <w:rPr>
          <w:rFonts w:ascii="Browallia New" w:eastAsia="Calibri" w:hAnsi="Browallia New" w:cs="Browallia New"/>
          <w:sz w:val="28"/>
          <w:szCs w:val="28"/>
          <w:cs/>
          <w:lang w:bidi="th-TH"/>
        </w:rPr>
        <w:t>นัยสำคัญในระบบการควบคุมภายใน</w:t>
      </w:r>
      <w:r w:rsidR="000A7022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>ที่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ข้าพเจ้าได้พบในระหว่างการตรวจสอบขอ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งข้าพเจ้า</w:t>
      </w:r>
    </w:p>
    <w:p w14:paraId="1C71F91C" w14:textId="77777777" w:rsidR="00BA5CF6" w:rsidRDefault="00BA5CF6" w:rsidP="00BA5CF6">
      <w:pPr>
        <w:spacing w:after="0" w:line="240" w:lineRule="auto"/>
        <w:jc w:val="thaiDistribute"/>
        <w:rPr>
          <w:rFonts w:ascii="Browallia New" w:eastAsia="Calibri" w:hAnsi="Browallia New" w:cs="Browallia New"/>
          <w:sz w:val="28"/>
          <w:szCs w:val="28"/>
        </w:rPr>
      </w:pPr>
    </w:p>
    <w:p w14:paraId="5B6E6B48" w14:textId="1E5BFBB1" w:rsidR="00BA5CF6" w:rsidRPr="00AC48F3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ข้าพเจ้าได้ให้คำรับรองแก่ผู้มีหน้าที่กำกับดูแลว่า</w:t>
      </w:r>
      <w:r w:rsidR="005D313D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</w:t>
      </w:r>
      <w:r w:rsidR="005A26AB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</w:t>
      </w:r>
      <w:r w:rsidR="002622E5">
        <w:rPr>
          <w:rFonts w:ascii="Browallia New" w:eastAsia="Calibri" w:hAnsi="Browallia New" w:cs="Browallia New" w:hint="cs"/>
          <w:sz w:val="28"/>
          <w:szCs w:val="28"/>
          <w:cs/>
          <w:lang w:bidi="th-TH"/>
        </w:rPr>
        <w:t xml:space="preserve"> </w:t>
      </w:r>
      <w:r w:rsidRPr="00AC48F3">
        <w:rPr>
          <w:rFonts w:ascii="Browallia New" w:eastAsia="Calibri" w:hAnsi="Browallia New" w:cs="Browallia New"/>
          <w:sz w:val="28"/>
          <w:szCs w:val="28"/>
          <w:cs/>
          <w:lang w:bidi="th-TH"/>
        </w:rPr>
        <w:t>และมาตรการที่ข้าพเจ้าใช้เพื่อป้องกันไม่ให้ข้าพเจ้าขาดความเป็น</w:t>
      </w:r>
      <w:r w:rsidRPr="00AC48F3">
        <w:rPr>
          <w:rFonts w:ascii="Browallia New" w:hAnsi="Browallia New" w:cs="Browallia New"/>
          <w:sz w:val="28"/>
          <w:szCs w:val="28"/>
          <w:cs/>
          <w:lang w:bidi="th-TH"/>
        </w:rPr>
        <w:t>อิสระ</w:t>
      </w:r>
    </w:p>
    <w:p w14:paraId="36168744" w14:textId="77777777" w:rsidR="00BA5CF6" w:rsidRPr="00AC48F3" w:rsidRDefault="00BA5CF6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19501AF1" w14:textId="6DF7D953" w:rsidR="00BA5CF6" w:rsidRPr="00AC48F3" w:rsidRDefault="00014D09" w:rsidP="00BA5CF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จากเร</w:t>
      </w:r>
      <w:r w:rsidR="00732A62"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องที่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ส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อสารกับผู้มีหน้าท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ในการกำกับดูแล ข้าพเจ้าได้พิจารณาเร</w:t>
      </w:r>
      <w:r w:rsidR="009B3665"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องต่างๆ ท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มีนัยสำคัญมากท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สุด</w:t>
      </w:r>
      <w:r w:rsidR="00BA5CF6">
        <w:rPr>
          <w:rFonts w:ascii="Browallia New" w:hAnsi="Browallia New" w:cs="Browallia New"/>
          <w:sz w:val="28"/>
          <w:szCs w:val="28"/>
          <w:lang w:bidi="th-TH"/>
        </w:rPr>
        <w:t xml:space="preserve">              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ในการตรวจสอบงบการเงินรวมและเฉพาะของบริษัทใน</w:t>
      </w:r>
      <w:r w:rsidR="002622E5">
        <w:rPr>
          <w:rFonts w:ascii="Browallia New" w:hAnsi="Browallia New" w:cs="Browallia New" w:hint="cs"/>
          <w:sz w:val="28"/>
          <w:szCs w:val="28"/>
          <w:cs/>
          <w:lang w:bidi="th-TH"/>
        </w:rPr>
        <w:t>ป</w:t>
      </w:r>
      <w:r w:rsidR="001E17B5">
        <w:rPr>
          <w:rFonts w:ascii="Browallia New" w:hAnsi="Browallia New" w:cs="Browallia New" w:hint="cs"/>
          <w:sz w:val="28"/>
          <w:szCs w:val="28"/>
          <w:cs/>
          <w:lang w:bidi="th-TH"/>
        </w:rPr>
        <w:t>ี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ปัจจุบัน</w:t>
      </w:r>
      <w:r w:rsidR="00A52586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และกำหนดเป็นเร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องสำคัญ</w:t>
      </w:r>
      <w:r w:rsidR="00825BF1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ในการตรวจสอบ ข้าพเจ้าได้อธิบายเร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องเหล่านี้ในรายงานของผู้สอบบัญชี</w:t>
      </w:r>
      <w:r w:rsidR="00F72B7A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เว้นแต่กฎหมายหรือข้อบังคับไม่ให้เปิดเผยต่อสาธารณะเก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ี่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ยวกับเร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>ื่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องดังกล่าว หรือในสถานการณ์ที่</w:t>
      </w:r>
      <w:r w:rsidR="00754C1B">
        <w:rPr>
          <w:rFonts w:ascii="Browallia New" w:hAnsi="Browallia New" w:cs="Browallia New" w:hint="cs"/>
          <w:sz w:val="28"/>
          <w:szCs w:val="28"/>
          <w:cs/>
          <w:lang w:bidi="th-TH"/>
        </w:rPr>
        <w:t>ไม่ค่อยจะปรากฏ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754C1B">
        <w:rPr>
          <w:rFonts w:ascii="Browallia New" w:hAnsi="Browallia New" w:cs="Browallia New" w:hint="cs"/>
          <w:sz w:val="28"/>
          <w:szCs w:val="28"/>
          <w:cs/>
          <w:lang w:bidi="th-TH"/>
        </w:rPr>
        <w:t>เมื่อ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ข้าพเจ้าพิจารณาว่าไม่ควรสื่อสารเรื่องดังกล่าวในรายงานของข้าพเจ้า</w:t>
      </w:r>
      <w:r w:rsidR="00754C1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>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</w:t>
      </w:r>
      <w:r w:rsidR="00E85182">
        <w:rPr>
          <w:rFonts w:ascii="Browallia New" w:hAnsi="Browallia New" w:cs="Browallia New" w:hint="cs"/>
          <w:sz w:val="28"/>
          <w:szCs w:val="28"/>
          <w:cs/>
          <w:lang w:bidi="th-TH"/>
        </w:rPr>
        <w:t>จากการสื่อสารดังกล่าว</w:t>
      </w:r>
      <w:r w:rsidR="00BA5CF6" w:rsidRPr="00AC48F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</w:p>
    <w:p w14:paraId="231FDE24" w14:textId="77777777" w:rsidR="00BA5CF6" w:rsidRPr="00AC48F3" w:rsidRDefault="00BA5CF6" w:rsidP="00BA5CF6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1899CDEB" w14:textId="77777777" w:rsidR="00BA5CF6" w:rsidRPr="00AC48F3" w:rsidRDefault="00BA5CF6" w:rsidP="00BA5CF6">
      <w:pPr>
        <w:pStyle w:val="RNormal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23216827" w14:textId="77777777" w:rsidR="003C08B4" w:rsidRPr="0014262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237F99E5" w14:textId="77777777" w:rsidR="00641932" w:rsidRPr="006D58CC" w:rsidRDefault="00641932" w:rsidP="00641932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</w:rPr>
      </w:pPr>
      <w:r w:rsidRPr="00D82921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นายสมคิด</w:t>
      </w:r>
      <w:r w:rsidRPr="00D82921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Pr="00D82921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เตียตระกูล</w:t>
      </w:r>
    </w:p>
    <w:p w14:paraId="713FB2FD" w14:textId="77777777" w:rsidR="00641932" w:rsidRPr="00142624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33C29B15" w14:textId="77777777" w:rsidR="00641932" w:rsidRPr="003C08B4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  <w:lang w:val="en-US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2785</w:t>
      </w:r>
    </w:p>
    <w:p w14:paraId="4BC4422E" w14:textId="77777777" w:rsidR="00641932" w:rsidRPr="00142624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432BB87A" w14:textId="77777777" w:rsidR="00641932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F50EB05" w14:textId="77777777" w:rsidR="00641932" w:rsidRPr="00142624" w:rsidRDefault="00641932" w:rsidP="00641932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5E5522B0" w14:textId="4434AA3F" w:rsidR="00641932" w:rsidRPr="00641932" w:rsidRDefault="005323D2" w:rsidP="00641932">
      <w:pPr>
        <w:spacing w:after="0" w:line="240" w:lineRule="auto"/>
        <w:rPr>
          <w:sz w:val="28"/>
          <w:szCs w:val="28"/>
          <w:lang w:val="en-US"/>
        </w:rPr>
      </w:pPr>
      <w:r w:rsidRPr="005323D2">
        <w:rPr>
          <w:rFonts w:ascii="Browallia New" w:hAnsi="Browallia New" w:cs="Browallia New"/>
          <w:sz w:val="28"/>
          <w:szCs w:val="28"/>
          <w:lang w:bidi="th-TH"/>
        </w:rPr>
        <w:t>28</w:t>
      </w:r>
      <w:r w:rsidR="00814AEB" w:rsidRPr="005323D2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641932" w:rsidRPr="005323D2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กุมภาพันธ์ </w:t>
      </w:r>
      <w:r w:rsidR="00641932" w:rsidRPr="005323D2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814AEB" w:rsidRPr="005323D2">
        <w:rPr>
          <w:rFonts w:ascii="Browallia New" w:hAnsi="Browallia New" w:cs="Browallia New"/>
          <w:sz w:val="28"/>
          <w:szCs w:val="28"/>
          <w:lang w:val="en-US" w:bidi="th-TH"/>
        </w:rPr>
        <w:t>6</w:t>
      </w:r>
    </w:p>
    <w:p w14:paraId="1FFAE2DC" w14:textId="77777777" w:rsidR="00D15EA5" w:rsidRDefault="00D15EA5" w:rsidP="00D15EA5">
      <w:pPr>
        <w:pStyle w:val="BodyText"/>
      </w:pPr>
    </w:p>
    <w:p w14:paraId="76DDC83E" w14:textId="77777777" w:rsidR="00D15EA5" w:rsidRDefault="00D15EA5" w:rsidP="00D15EA5">
      <w:pPr>
        <w:pStyle w:val="BodyText"/>
      </w:pPr>
    </w:p>
    <w:sectPr w:rsidR="00D15EA5" w:rsidSect="008719C2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ECEA4" w14:textId="77777777" w:rsidR="00661499" w:rsidRDefault="00661499">
      <w:r>
        <w:separator/>
      </w:r>
    </w:p>
  </w:endnote>
  <w:endnote w:type="continuationSeparator" w:id="0">
    <w:p w14:paraId="4BA1ED2C" w14:textId="77777777" w:rsidR="00661499" w:rsidRDefault="00661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F21A4" w14:textId="77777777" w:rsidR="00661499" w:rsidRDefault="00661499">
      <w:bookmarkStart w:id="0" w:name="_Hlk482348182"/>
      <w:bookmarkEnd w:id="0"/>
      <w:r>
        <w:separator/>
      </w:r>
    </w:p>
  </w:footnote>
  <w:footnote w:type="continuationSeparator" w:id="0">
    <w:p w14:paraId="402C597F" w14:textId="77777777" w:rsidR="00661499" w:rsidRDefault="00661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284D2" w14:textId="77777777" w:rsidR="002E1143" w:rsidRDefault="002E1143" w:rsidP="00D96128">
    <w:pPr>
      <w:pStyle w:val="Header"/>
      <w:jc w:val="right"/>
      <w:rPr>
        <w:noProof/>
        <w:lang w:eastAsia="en-GB"/>
      </w:rPr>
    </w:pPr>
  </w:p>
  <w:p w14:paraId="60844974" w14:textId="77777777" w:rsidR="002E1143" w:rsidRDefault="002E1143" w:rsidP="00D96128">
    <w:pPr>
      <w:pStyle w:val="Header"/>
      <w:jc w:val="right"/>
      <w:rPr>
        <w:noProof/>
        <w:lang w:eastAsia="en-GB"/>
      </w:rPr>
    </w:pPr>
  </w:p>
  <w:p w14:paraId="7283F004" w14:textId="4EF106C5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707CD6C0" w14:textId="4F31B942" w:rsidR="00D15EA5" w:rsidRPr="006932D7" w:rsidRDefault="00CD4D4E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1" w:name="Footer3_tbl"/>
    <w:bookmarkEnd w:id="1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0BA615B2"/>
    <w:multiLevelType w:val="hybridMultilevel"/>
    <w:tmpl w:val="F8F69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1C0991"/>
    <w:multiLevelType w:val="hybridMultilevel"/>
    <w:tmpl w:val="73027A9C"/>
    <w:lvl w:ilvl="0" w:tplc="040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10" w15:restartNumberingAfterBreak="0">
    <w:nsid w:val="1A933704"/>
    <w:multiLevelType w:val="multilevel"/>
    <w:tmpl w:val="8460F8B0"/>
    <w:numStyleLink w:val="GTTableBullets"/>
  </w:abstractNum>
  <w:abstractNum w:abstractNumId="11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12" w15:restartNumberingAfterBreak="0">
    <w:nsid w:val="235B21F8"/>
    <w:multiLevelType w:val="multilevel"/>
    <w:tmpl w:val="FAE6F968"/>
    <w:numStyleLink w:val="GTListBullet"/>
  </w:abstractNum>
  <w:abstractNum w:abstractNumId="13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35C91C25"/>
    <w:multiLevelType w:val="multilevel"/>
    <w:tmpl w:val="98FC98AC"/>
    <w:numStyleLink w:val="GTListNumber"/>
  </w:abstractNum>
  <w:abstractNum w:abstractNumId="15" w15:restartNumberingAfterBreak="0">
    <w:nsid w:val="3BA976CF"/>
    <w:multiLevelType w:val="multilevel"/>
    <w:tmpl w:val="98FC98AC"/>
    <w:numStyleLink w:val="GTListNumber"/>
  </w:abstractNum>
  <w:abstractNum w:abstractNumId="16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5DDB5E6E"/>
    <w:multiLevelType w:val="multilevel"/>
    <w:tmpl w:val="FAE6F968"/>
    <w:numStyleLink w:val="GTListBullet"/>
  </w:abstractNum>
  <w:abstractNum w:abstractNumId="18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9" w15:restartNumberingAfterBreak="0">
    <w:nsid w:val="7F924C95"/>
    <w:multiLevelType w:val="multilevel"/>
    <w:tmpl w:val="0D561ACA"/>
    <w:numStyleLink w:val="GTNumberedHeadings"/>
  </w:abstractNum>
  <w:num w:numId="1" w16cid:durableId="1656302611">
    <w:abstractNumId w:val="3"/>
  </w:num>
  <w:num w:numId="2" w16cid:durableId="120459539">
    <w:abstractNumId w:val="2"/>
  </w:num>
  <w:num w:numId="3" w16cid:durableId="1565137639">
    <w:abstractNumId w:val="1"/>
  </w:num>
  <w:num w:numId="4" w16cid:durableId="1161971625">
    <w:abstractNumId w:val="0"/>
  </w:num>
  <w:num w:numId="5" w16cid:durableId="563640841">
    <w:abstractNumId w:val="9"/>
  </w:num>
  <w:num w:numId="6" w16cid:durableId="216624477">
    <w:abstractNumId w:val="5"/>
  </w:num>
  <w:num w:numId="7" w16cid:durableId="122427558">
    <w:abstractNumId w:val="13"/>
  </w:num>
  <w:num w:numId="8" w16cid:durableId="490217288">
    <w:abstractNumId w:val="19"/>
  </w:num>
  <w:num w:numId="9" w16cid:durableId="351996550">
    <w:abstractNumId w:val="5"/>
  </w:num>
  <w:num w:numId="10" w16cid:durableId="1625770959">
    <w:abstractNumId w:val="18"/>
  </w:num>
  <w:num w:numId="11" w16cid:durableId="1040057433">
    <w:abstractNumId w:val="16"/>
  </w:num>
  <w:num w:numId="12" w16cid:durableId="302276504">
    <w:abstractNumId w:val="4"/>
  </w:num>
  <w:num w:numId="13" w16cid:durableId="1422556638">
    <w:abstractNumId w:val="11"/>
  </w:num>
  <w:num w:numId="14" w16cid:durableId="630130112">
    <w:abstractNumId w:val="10"/>
  </w:num>
  <w:num w:numId="15" w16cid:durableId="1858882172">
    <w:abstractNumId w:val="11"/>
  </w:num>
  <w:num w:numId="16" w16cid:durableId="649214345">
    <w:abstractNumId w:val="12"/>
  </w:num>
  <w:num w:numId="17" w16cid:durableId="1409965131">
    <w:abstractNumId w:val="14"/>
  </w:num>
  <w:num w:numId="18" w16cid:durableId="509637713">
    <w:abstractNumId w:val="18"/>
  </w:num>
  <w:num w:numId="19" w16cid:durableId="782652795">
    <w:abstractNumId w:val="16"/>
  </w:num>
  <w:num w:numId="20" w16cid:durableId="457989871">
    <w:abstractNumId w:val="4"/>
  </w:num>
  <w:num w:numId="21" w16cid:durableId="1163593715">
    <w:abstractNumId w:val="11"/>
  </w:num>
  <w:num w:numId="22" w16cid:durableId="1723600442">
    <w:abstractNumId w:val="10"/>
  </w:num>
  <w:num w:numId="23" w16cid:durableId="870187941">
    <w:abstractNumId w:val="10"/>
  </w:num>
  <w:num w:numId="24" w16cid:durableId="518005780">
    <w:abstractNumId w:val="10"/>
  </w:num>
  <w:num w:numId="25" w16cid:durableId="179046217">
    <w:abstractNumId w:val="11"/>
  </w:num>
  <w:num w:numId="26" w16cid:durableId="1912962192">
    <w:abstractNumId w:val="11"/>
  </w:num>
  <w:num w:numId="27" w16cid:durableId="168250929">
    <w:abstractNumId w:val="11"/>
  </w:num>
  <w:num w:numId="28" w16cid:durableId="1739551290">
    <w:abstractNumId w:val="17"/>
  </w:num>
  <w:num w:numId="29" w16cid:durableId="983001792">
    <w:abstractNumId w:val="17"/>
  </w:num>
  <w:num w:numId="30" w16cid:durableId="1652640128">
    <w:abstractNumId w:val="17"/>
  </w:num>
  <w:num w:numId="31" w16cid:durableId="1558010491">
    <w:abstractNumId w:val="15"/>
  </w:num>
  <w:num w:numId="32" w16cid:durableId="1384981638">
    <w:abstractNumId w:val="15"/>
  </w:num>
  <w:num w:numId="33" w16cid:durableId="874004809">
    <w:abstractNumId w:val="15"/>
  </w:num>
  <w:num w:numId="34" w16cid:durableId="802389604">
    <w:abstractNumId w:val="7"/>
  </w:num>
  <w:num w:numId="35" w16cid:durableId="2039961446">
    <w:abstractNumId w:val="6"/>
  </w:num>
  <w:num w:numId="36" w16cid:durableId="98956041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047B"/>
    <w:rsid w:val="00013719"/>
    <w:rsid w:val="00014D09"/>
    <w:rsid w:val="00015C7C"/>
    <w:rsid w:val="000162B0"/>
    <w:rsid w:val="000237E0"/>
    <w:rsid w:val="0003023B"/>
    <w:rsid w:val="00031D17"/>
    <w:rsid w:val="0004208A"/>
    <w:rsid w:val="00044ACE"/>
    <w:rsid w:val="0004550E"/>
    <w:rsid w:val="00052614"/>
    <w:rsid w:val="00055090"/>
    <w:rsid w:val="00055CAD"/>
    <w:rsid w:val="00056AAA"/>
    <w:rsid w:val="00067A2B"/>
    <w:rsid w:val="000723F7"/>
    <w:rsid w:val="00074485"/>
    <w:rsid w:val="00080552"/>
    <w:rsid w:val="00080D42"/>
    <w:rsid w:val="000813C3"/>
    <w:rsid w:val="00081D85"/>
    <w:rsid w:val="000828F1"/>
    <w:rsid w:val="00082F59"/>
    <w:rsid w:val="00084DB3"/>
    <w:rsid w:val="000875D8"/>
    <w:rsid w:val="000903D1"/>
    <w:rsid w:val="00094333"/>
    <w:rsid w:val="00097FAB"/>
    <w:rsid w:val="000A7022"/>
    <w:rsid w:val="000B65E3"/>
    <w:rsid w:val="000B7090"/>
    <w:rsid w:val="000C2481"/>
    <w:rsid w:val="000C44C3"/>
    <w:rsid w:val="000E4CEA"/>
    <w:rsid w:val="000E52CE"/>
    <w:rsid w:val="000F3516"/>
    <w:rsid w:val="000F3AAB"/>
    <w:rsid w:val="000F6E25"/>
    <w:rsid w:val="001011DF"/>
    <w:rsid w:val="00110989"/>
    <w:rsid w:val="00112B69"/>
    <w:rsid w:val="00113898"/>
    <w:rsid w:val="001177A9"/>
    <w:rsid w:val="001316D3"/>
    <w:rsid w:val="00134EB8"/>
    <w:rsid w:val="001350A5"/>
    <w:rsid w:val="00142624"/>
    <w:rsid w:val="00142760"/>
    <w:rsid w:val="00142E5B"/>
    <w:rsid w:val="001554CD"/>
    <w:rsid w:val="00155A91"/>
    <w:rsid w:val="00156CC6"/>
    <w:rsid w:val="00157716"/>
    <w:rsid w:val="0016039F"/>
    <w:rsid w:val="001613E2"/>
    <w:rsid w:val="0016434B"/>
    <w:rsid w:val="0016459D"/>
    <w:rsid w:val="00167017"/>
    <w:rsid w:val="0016775F"/>
    <w:rsid w:val="001766CA"/>
    <w:rsid w:val="001766CF"/>
    <w:rsid w:val="00182F9F"/>
    <w:rsid w:val="00183CA9"/>
    <w:rsid w:val="0019210D"/>
    <w:rsid w:val="001950D2"/>
    <w:rsid w:val="001A32E3"/>
    <w:rsid w:val="001A3BFB"/>
    <w:rsid w:val="001A3C20"/>
    <w:rsid w:val="001B198C"/>
    <w:rsid w:val="001B4277"/>
    <w:rsid w:val="001B72DF"/>
    <w:rsid w:val="001B7388"/>
    <w:rsid w:val="001C53CA"/>
    <w:rsid w:val="001D2302"/>
    <w:rsid w:val="001D705A"/>
    <w:rsid w:val="001D7BB3"/>
    <w:rsid w:val="001E12A6"/>
    <w:rsid w:val="001E14AC"/>
    <w:rsid w:val="001E17B5"/>
    <w:rsid w:val="001E3E4A"/>
    <w:rsid w:val="001E498F"/>
    <w:rsid w:val="001F6F5E"/>
    <w:rsid w:val="002053D2"/>
    <w:rsid w:val="0022518C"/>
    <w:rsid w:val="0022647A"/>
    <w:rsid w:val="00235A5C"/>
    <w:rsid w:val="00237A7E"/>
    <w:rsid w:val="00240A27"/>
    <w:rsid w:val="00241F16"/>
    <w:rsid w:val="002422CD"/>
    <w:rsid w:val="00247969"/>
    <w:rsid w:val="00250B6B"/>
    <w:rsid w:val="00252849"/>
    <w:rsid w:val="0026182A"/>
    <w:rsid w:val="002622E5"/>
    <w:rsid w:val="002631D9"/>
    <w:rsid w:val="0026728F"/>
    <w:rsid w:val="00272604"/>
    <w:rsid w:val="00277EBE"/>
    <w:rsid w:val="002838FB"/>
    <w:rsid w:val="00285249"/>
    <w:rsid w:val="002905A5"/>
    <w:rsid w:val="002A252E"/>
    <w:rsid w:val="002A5AB1"/>
    <w:rsid w:val="002B0BF8"/>
    <w:rsid w:val="002B5A4A"/>
    <w:rsid w:val="002C623D"/>
    <w:rsid w:val="002D1713"/>
    <w:rsid w:val="002D5A0F"/>
    <w:rsid w:val="002D6E25"/>
    <w:rsid w:val="002E02F4"/>
    <w:rsid w:val="002E1143"/>
    <w:rsid w:val="002E314B"/>
    <w:rsid w:val="002E3892"/>
    <w:rsid w:val="002E7F1E"/>
    <w:rsid w:val="002F2AE8"/>
    <w:rsid w:val="002F2DEB"/>
    <w:rsid w:val="002F3903"/>
    <w:rsid w:val="002F4A52"/>
    <w:rsid w:val="002F731F"/>
    <w:rsid w:val="002F7D90"/>
    <w:rsid w:val="0030026A"/>
    <w:rsid w:val="0030353B"/>
    <w:rsid w:val="00305173"/>
    <w:rsid w:val="00310390"/>
    <w:rsid w:val="00317B60"/>
    <w:rsid w:val="00321A76"/>
    <w:rsid w:val="0032458A"/>
    <w:rsid w:val="003304A5"/>
    <w:rsid w:val="0033294F"/>
    <w:rsid w:val="00335E5B"/>
    <w:rsid w:val="0034149A"/>
    <w:rsid w:val="00342105"/>
    <w:rsid w:val="00344FA8"/>
    <w:rsid w:val="00347C8E"/>
    <w:rsid w:val="00354F5D"/>
    <w:rsid w:val="003555D2"/>
    <w:rsid w:val="00357080"/>
    <w:rsid w:val="00363BA3"/>
    <w:rsid w:val="00365ECE"/>
    <w:rsid w:val="003744DA"/>
    <w:rsid w:val="00374B4C"/>
    <w:rsid w:val="003754C4"/>
    <w:rsid w:val="00384904"/>
    <w:rsid w:val="00394AB3"/>
    <w:rsid w:val="00397FFB"/>
    <w:rsid w:val="003A0EED"/>
    <w:rsid w:val="003A46D5"/>
    <w:rsid w:val="003B4CCD"/>
    <w:rsid w:val="003B4DED"/>
    <w:rsid w:val="003C08B4"/>
    <w:rsid w:val="003C12C5"/>
    <w:rsid w:val="003C27EF"/>
    <w:rsid w:val="003C32E9"/>
    <w:rsid w:val="003C3898"/>
    <w:rsid w:val="003D2605"/>
    <w:rsid w:val="003D64D6"/>
    <w:rsid w:val="003E0260"/>
    <w:rsid w:val="003E034A"/>
    <w:rsid w:val="003E0E3A"/>
    <w:rsid w:val="003E182C"/>
    <w:rsid w:val="003E3E21"/>
    <w:rsid w:val="003E6CB6"/>
    <w:rsid w:val="003E6EC4"/>
    <w:rsid w:val="003F0972"/>
    <w:rsid w:val="003F1162"/>
    <w:rsid w:val="003F125A"/>
    <w:rsid w:val="003F5A96"/>
    <w:rsid w:val="003F5FD8"/>
    <w:rsid w:val="00404B7E"/>
    <w:rsid w:val="00406C44"/>
    <w:rsid w:val="0041373D"/>
    <w:rsid w:val="00414DB5"/>
    <w:rsid w:val="00416281"/>
    <w:rsid w:val="00422353"/>
    <w:rsid w:val="00426915"/>
    <w:rsid w:val="00427CB6"/>
    <w:rsid w:val="00433F63"/>
    <w:rsid w:val="00435788"/>
    <w:rsid w:val="004359E6"/>
    <w:rsid w:val="00443CE3"/>
    <w:rsid w:val="00450669"/>
    <w:rsid w:val="00452E7B"/>
    <w:rsid w:val="004546FA"/>
    <w:rsid w:val="00456EA9"/>
    <w:rsid w:val="004622C7"/>
    <w:rsid w:val="00462BCB"/>
    <w:rsid w:val="00463364"/>
    <w:rsid w:val="004677F4"/>
    <w:rsid w:val="00480B62"/>
    <w:rsid w:val="00481FE7"/>
    <w:rsid w:val="0048532C"/>
    <w:rsid w:val="004876B0"/>
    <w:rsid w:val="00487E39"/>
    <w:rsid w:val="0049103F"/>
    <w:rsid w:val="004A0DFE"/>
    <w:rsid w:val="004A3C62"/>
    <w:rsid w:val="004A5CD3"/>
    <w:rsid w:val="004A7455"/>
    <w:rsid w:val="004B28B6"/>
    <w:rsid w:val="004B5E46"/>
    <w:rsid w:val="004C0971"/>
    <w:rsid w:val="004C0C25"/>
    <w:rsid w:val="004C2111"/>
    <w:rsid w:val="004C44CB"/>
    <w:rsid w:val="004C732E"/>
    <w:rsid w:val="004C7819"/>
    <w:rsid w:val="004D0FD8"/>
    <w:rsid w:val="004D20AE"/>
    <w:rsid w:val="004D3578"/>
    <w:rsid w:val="004D6145"/>
    <w:rsid w:val="004F1A16"/>
    <w:rsid w:val="004F207F"/>
    <w:rsid w:val="004F5D91"/>
    <w:rsid w:val="005070FA"/>
    <w:rsid w:val="005117F5"/>
    <w:rsid w:val="00512F63"/>
    <w:rsid w:val="0052186A"/>
    <w:rsid w:val="00531F1E"/>
    <w:rsid w:val="005321DA"/>
    <w:rsid w:val="005323D2"/>
    <w:rsid w:val="00541CAF"/>
    <w:rsid w:val="0054414E"/>
    <w:rsid w:val="00547541"/>
    <w:rsid w:val="0054756D"/>
    <w:rsid w:val="005479B3"/>
    <w:rsid w:val="00551365"/>
    <w:rsid w:val="005537D0"/>
    <w:rsid w:val="0056155C"/>
    <w:rsid w:val="005627FF"/>
    <w:rsid w:val="00577D61"/>
    <w:rsid w:val="005822AC"/>
    <w:rsid w:val="00585D4C"/>
    <w:rsid w:val="005905AF"/>
    <w:rsid w:val="00591F0D"/>
    <w:rsid w:val="00594DA2"/>
    <w:rsid w:val="00596903"/>
    <w:rsid w:val="005A26AB"/>
    <w:rsid w:val="005A29D0"/>
    <w:rsid w:val="005A7B0B"/>
    <w:rsid w:val="005A7EBD"/>
    <w:rsid w:val="005B1823"/>
    <w:rsid w:val="005B405A"/>
    <w:rsid w:val="005C06A0"/>
    <w:rsid w:val="005C2CCB"/>
    <w:rsid w:val="005C4958"/>
    <w:rsid w:val="005C6479"/>
    <w:rsid w:val="005C69FD"/>
    <w:rsid w:val="005D10EC"/>
    <w:rsid w:val="005D1D53"/>
    <w:rsid w:val="005D313D"/>
    <w:rsid w:val="005D7025"/>
    <w:rsid w:val="005E2783"/>
    <w:rsid w:val="005E2D67"/>
    <w:rsid w:val="005E5578"/>
    <w:rsid w:val="005F066B"/>
    <w:rsid w:val="005F4D62"/>
    <w:rsid w:val="006014C1"/>
    <w:rsid w:val="00606C07"/>
    <w:rsid w:val="00610ED7"/>
    <w:rsid w:val="006127A3"/>
    <w:rsid w:val="00616F48"/>
    <w:rsid w:val="00620CE3"/>
    <w:rsid w:val="00621086"/>
    <w:rsid w:val="00632429"/>
    <w:rsid w:val="00634D49"/>
    <w:rsid w:val="006365A1"/>
    <w:rsid w:val="00636AA2"/>
    <w:rsid w:val="00641932"/>
    <w:rsid w:val="00643543"/>
    <w:rsid w:val="00653B85"/>
    <w:rsid w:val="00660C17"/>
    <w:rsid w:val="00661499"/>
    <w:rsid w:val="00666764"/>
    <w:rsid w:val="0066694B"/>
    <w:rsid w:val="00667DB6"/>
    <w:rsid w:val="00673BB3"/>
    <w:rsid w:val="006771E8"/>
    <w:rsid w:val="00677C01"/>
    <w:rsid w:val="00681CCA"/>
    <w:rsid w:val="00683934"/>
    <w:rsid w:val="00683CC7"/>
    <w:rsid w:val="0068563F"/>
    <w:rsid w:val="00690525"/>
    <w:rsid w:val="00690D3A"/>
    <w:rsid w:val="00692CA5"/>
    <w:rsid w:val="0069319C"/>
    <w:rsid w:val="006932D7"/>
    <w:rsid w:val="00693E07"/>
    <w:rsid w:val="00696C42"/>
    <w:rsid w:val="006A1945"/>
    <w:rsid w:val="006A3B2F"/>
    <w:rsid w:val="006A5A30"/>
    <w:rsid w:val="006A6739"/>
    <w:rsid w:val="006A6BB9"/>
    <w:rsid w:val="006A797F"/>
    <w:rsid w:val="006B06A2"/>
    <w:rsid w:val="006B2FE3"/>
    <w:rsid w:val="006B3C8F"/>
    <w:rsid w:val="006B5D82"/>
    <w:rsid w:val="006C2994"/>
    <w:rsid w:val="006C3D37"/>
    <w:rsid w:val="006C6376"/>
    <w:rsid w:val="006D4FBF"/>
    <w:rsid w:val="006D6895"/>
    <w:rsid w:val="006D6FF5"/>
    <w:rsid w:val="006D72B8"/>
    <w:rsid w:val="006E0DBB"/>
    <w:rsid w:val="006F1B19"/>
    <w:rsid w:val="006F29ED"/>
    <w:rsid w:val="006F2EC8"/>
    <w:rsid w:val="006F4F77"/>
    <w:rsid w:val="006F53EE"/>
    <w:rsid w:val="0070147C"/>
    <w:rsid w:val="007023EC"/>
    <w:rsid w:val="007064E7"/>
    <w:rsid w:val="00711A14"/>
    <w:rsid w:val="00713699"/>
    <w:rsid w:val="00714826"/>
    <w:rsid w:val="00714FD6"/>
    <w:rsid w:val="00717064"/>
    <w:rsid w:val="00717313"/>
    <w:rsid w:val="007232F8"/>
    <w:rsid w:val="00724A84"/>
    <w:rsid w:val="007265F7"/>
    <w:rsid w:val="00731894"/>
    <w:rsid w:val="00731930"/>
    <w:rsid w:val="00732A62"/>
    <w:rsid w:val="00734885"/>
    <w:rsid w:val="00740A8A"/>
    <w:rsid w:val="00746796"/>
    <w:rsid w:val="00746D91"/>
    <w:rsid w:val="0074753F"/>
    <w:rsid w:val="0075202F"/>
    <w:rsid w:val="00754C1B"/>
    <w:rsid w:val="0075598A"/>
    <w:rsid w:val="00755E02"/>
    <w:rsid w:val="00761813"/>
    <w:rsid w:val="007671BE"/>
    <w:rsid w:val="00767313"/>
    <w:rsid w:val="00771B85"/>
    <w:rsid w:val="00775DA6"/>
    <w:rsid w:val="00780467"/>
    <w:rsid w:val="0078170A"/>
    <w:rsid w:val="00790174"/>
    <w:rsid w:val="00790956"/>
    <w:rsid w:val="0079502D"/>
    <w:rsid w:val="007A0755"/>
    <w:rsid w:val="007A1383"/>
    <w:rsid w:val="007A31D9"/>
    <w:rsid w:val="007A74F9"/>
    <w:rsid w:val="007C0CC2"/>
    <w:rsid w:val="007C6354"/>
    <w:rsid w:val="007D325D"/>
    <w:rsid w:val="007D41A1"/>
    <w:rsid w:val="007D42CF"/>
    <w:rsid w:val="007D64DD"/>
    <w:rsid w:val="007E0D32"/>
    <w:rsid w:val="007E6873"/>
    <w:rsid w:val="007F2896"/>
    <w:rsid w:val="008033D0"/>
    <w:rsid w:val="00803FB6"/>
    <w:rsid w:val="008057CB"/>
    <w:rsid w:val="008059EF"/>
    <w:rsid w:val="00806118"/>
    <w:rsid w:val="008128F7"/>
    <w:rsid w:val="00812938"/>
    <w:rsid w:val="008130BE"/>
    <w:rsid w:val="00814AEB"/>
    <w:rsid w:val="0081651C"/>
    <w:rsid w:val="00825BF1"/>
    <w:rsid w:val="00825E3A"/>
    <w:rsid w:val="00827B71"/>
    <w:rsid w:val="00830DAC"/>
    <w:rsid w:val="0083134C"/>
    <w:rsid w:val="00832F51"/>
    <w:rsid w:val="00836000"/>
    <w:rsid w:val="008367AC"/>
    <w:rsid w:val="00837B54"/>
    <w:rsid w:val="00843100"/>
    <w:rsid w:val="00845FE2"/>
    <w:rsid w:val="00847054"/>
    <w:rsid w:val="00850F25"/>
    <w:rsid w:val="008534AA"/>
    <w:rsid w:val="008541C2"/>
    <w:rsid w:val="00854538"/>
    <w:rsid w:val="00863A3E"/>
    <w:rsid w:val="008719C2"/>
    <w:rsid w:val="00882558"/>
    <w:rsid w:val="00884701"/>
    <w:rsid w:val="00884FF7"/>
    <w:rsid w:val="00887416"/>
    <w:rsid w:val="008909CF"/>
    <w:rsid w:val="008917E8"/>
    <w:rsid w:val="00894ACE"/>
    <w:rsid w:val="008A0BA4"/>
    <w:rsid w:val="008A1F2A"/>
    <w:rsid w:val="008A3206"/>
    <w:rsid w:val="008A6DDC"/>
    <w:rsid w:val="008A769F"/>
    <w:rsid w:val="008B19D9"/>
    <w:rsid w:val="008B1FD3"/>
    <w:rsid w:val="008B204B"/>
    <w:rsid w:val="008C1FC7"/>
    <w:rsid w:val="008C49AE"/>
    <w:rsid w:val="008C59F7"/>
    <w:rsid w:val="008D3CD8"/>
    <w:rsid w:val="008E21B8"/>
    <w:rsid w:val="008E7687"/>
    <w:rsid w:val="008F0E3C"/>
    <w:rsid w:val="008F11FA"/>
    <w:rsid w:val="008F33AE"/>
    <w:rsid w:val="008F3438"/>
    <w:rsid w:val="008F4ACA"/>
    <w:rsid w:val="008F4D06"/>
    <w:rsid w:val="0090598F"/>
    <w:rsid w:val="00906ACE"/>
    <w:rsid w:val="00912F98"/>
    <w:rsid w:val="00916653"/>
    <w:rsid w:val="00917FBB"/>
    <w:rsid w:val="009219CA"/>
    <w:rsid w:val="009223D3"/>
    <w:rsid w:val="009233C2"/>
    <w:rsid w:val="00931D7A"/>
    <w:rsid w:val="00935D8D"/>
    <w:rsid w:val="00942FE8"/>
    <w:rsid w:val="00945C39"/>
    <w:rsid w:val="00947939"/>
    <w:rsid w:val="00957E70"/>
    <w:rsid w:val="00966458"/>
    <w:rsid w:val="00970DAB"/>
    <w:rsid w:val="0097321D"/>
    <w:rsid w:val="00973827"/>
    <w:rsid w:val="00974FF6"/>
    <w:rsid w:val="00977C5A"/>
    <w:rsid w:val="00983709"/>
    <w:rsid w:val="00986EC4"/>
    <w:rsid w:val="0099029D"/>
    <w:rsid w:val="009919C7"/>
    <w:rsid w:val="00992531"/>
    <w:rsid w:val="00995CD5"/>
    <w:rsid w:val="00996517"/>
    <w:rsid w:val="009A1787"/>
    <w:rsid w:val="009A4F5A"/>
    <w:rsid w:val="009A5F2D"/>
    <w:rsid w:val="009A73BE"/>
    <w:rsid w:val="009B1F44"/>
    <w:rsid w:val="009B3665"/>
    <w:rsid w:val="009B4573"/>
    <w:rsid w:val="009C002A"/>
    <w:rsid w:val="009C44D6"/>
    <w:rsid w:val="009C4B42"/>
    <w:rsid w:val="009D45B4"/>
    <w:rsid w:val="009D7C64"/>
    <w:rsid w:val="009E278C"/>
    <w:rsid w:val="009F1404"/>
    <w:rsid w:val="009F4998"/>
    <w:rsid w:val="009F6EDC"/>
    <w:rsid w:val="00A035CE"/>
    <w:rsid w:val="00A0537F"/>
    <w:rsid w:val="00A0602E"/>
    <w:rsid w:val="00A06C1F"/>
    <w:rsid w:val="00A07FFA"/>
    <w:rsid w:val="00A11FB4"/>
    <w:rsid w:val="00A1213F"/>
    <w:rsid w:val="00A1550B"/>
    <w:rsid w:val="00A21134"/>
    <w:rsid w:val="00A30D5D"/>
    <w:rsid w:val="00A35782"/>
    <w:rsid w:val="00A357F5"/>
    <w:rsid w:val="00A362F9"/>
    <w:rsid w:val="00A42285"/>
    <w:rsid w:val="00A43EE6"/>
    <w:rsid w:val="00A4585A"/>
    <w:rsid w:val="00A50B9C"/>
    <w:rsid w:val="00A52586"/>
    <w:rsid w:val="00A60F49"/>
    <w:rsid w:val="00A61E15"/>
    <w:rsid w:val="00A66F91"/>
    <w:rsid w:val="00A70229"/>
    <w:rsid w:val="00A72D32"/>
    <w:rsid w:val="00A83A53"/>
    <w:rsid w:val="00A85E8A"/>
    <w:rsid w:val="00A86D0F"/>
    <w:rsid w:val="00A918D1"/>
    <w:rsid w:val="00A931A8"/>
    <w:rsid w:val="00A93A9A"/>
    <w:rsid w:val="00A9707B"/>
    <w:rsid w:val="00AA219C"/>
    <w:rsid w:val="00AA5C16"/>
    <w:rsid w:val="00AA7146"/>
    <w:rsid w:val="00AB1178"/>
    <w:rsid w:val="00AB1F31"/>
    <w:rsid w:val="00AB690D"/>
    <w:rsid w:val="00AC0BA1"/>
    <w:rsid w:val="00AC107E"/>
    <w:rsid w:val="00AC1EC1"/>
    <w:rsid w:val="00AC31D4"/>
    <w:rsid w:val="00AC6098"/>
    <w:rsid w:val="00AC7B08"/>
    <w:rsid w:val="00AD0C6C"/>
    <w:rsid w:val="00AD3B26"/>
    <w:rsid w:val="00AD3BA9"/>
    <w:rsid w:val="00AE2BF6"/>
    <w:rsid w:val="00AE3370"/>
    <w:rsid w:val="00AE64CA"/>
    <w:rsid w:val="00AF27E9"/>
    <w:rsid w:val="00AF388E"/>
    <w:rsid w:val="00AF7092"/>
    <w:rsid w:val="00B0396E"/>
    <w:rsid w:val="00B05DA1"/>
    <w:rsid w:val="00B07427"/>
    <w:rsid w:val="00B12194"/>
    <w:rsid w:val="00B1324D"/>
    <w:rsid w:val="00B1491C"/>
    <w:rsid w:val="00B157E2"/>
    <w:rsid w:val="00B229A5"/>
    <w:rsid w:val="00B24A45"/>
    <w:rsid w:val="00B25B92"/>
    <w:rsid w:val="00B26948"/>
    <w:rsid w:val="00B2694B"/>
    <w:rsid w:val="00B32AF7"/>
    <w:rsid w:val="00B34D51"/>
    <w:rsid w:val="00B364B3"/>
    <w:rsid w:val="00B368F1"/>
    <w:rsid w:val="00B36A0E"/>
    <w:rsid w:val="00B36BA1"/>
    <w:rsid w:val="00B40A61"/>
    <w:rsid w:val="00B40D67"/>
    <w:rsid w:val="00B433D2"/>
    <w:rsid w:val="00B43C45"/>
    <w:rsid w:val="00B44BFD"/>
    <w:rsid w:val="00B45B39"/>
    <w:rsid w:val="00B51B47"/>
    <w:rsid w:val="00B55EE8"/>
    <w:rsid w:val="00B56E6C"/>
    <w:rsid w:val="00B63D0E"/>
    <w:rsid w:val="00B65CCF"/>
    <w:rsid w:val="00B74D7F"/>
    <w:rsid w:val="00B7581D"/>
    <w:rsid w:val="00B805F7"/>
    <w:rsid w:val="00B81466"/>
    <w:rsid w:val="00B817A2"/>
    <w:rsid w:val="00B83039"/>
    <w:rsid w:val="00B83107"/>
    <w:rsid w:val="00B87476"/>
    <w:rsid w:val="00B90C4F"/>
    <w:rsid w:val="00BA017C"/>
    <w:rsid w:val="00BA5B00"/>
    <w:rsid w:val="00BA5CF6"/>
    <w:rsid w:val="00BB01BE"/>
    <w:rsid w:val="00BB1A07"/>
    <w:rsid w:val="00BB6DAD"/>
    <w:rsid w:val="00BB7346"/>
    <w:rsid w:val="00BC1555"/>
    <w:rsid w:val="00BC60A9"/>
    <w:rsid w:val="00BC6662"/>
    <w:rsid w:val="00BD1B7B"/>
    <w:rsid w:val="00BD2A32"/>
    <w:rsid w:val="00BE0C8A"/>
    <w:rsid w:val="00BE315C"/>
    <w:rsid w:val="00BE334D"/>
    <w:rsid w:val="00BE4988"/>
    <w:rsid w:val="00BE5F37"/>
    <w:rsid w:val="00BF1C24"/>
    <w:rsid w:val="00BF1F18"/>
    <w:rsid w:val="00BF5E73"/>
    <w:rsid w:val="00BF6F3C"/>
    <w:rsid w:val="00C00A5E"/>
    <w:rsid w:val="00C01802"/>
    <w:rsid w:val="00C06939"/>
    <w:rsid w:val="00C173BF"/>
    <w:rsid w:val="00C21E3B"/>
    <w:rsid w:val="00C22B53"/>
    <w:rsid w:val="00C24F2F"/>
    <w:rsid w:val="00C322E3"/>
    <w:rsid w:val="00C3462C"/>
    <w:rsid w:val="00C34E27"/>
    <w:rsid w:val="00C35B1A"/>
    <w:rsid w:val="00C41C7D"/>
    <w:rsid w:val="00C5191A"/>
    <w:rsid w:val="00C54445"/>
    <w:rsid w:val="00C63023"/>
    <w:rsid w:val="00C63743"/>
    <w:rsid w:val="00C72FCF"/>
    <w:rsid w:val="00C73296"/>
    <w:rsid w:val="00C76C6C"/>
    <w:rsid w:val="00C80651"/>
    <w:rsid w:val="00C80EC5"/>
    <w:rsid w:val="00C84041"/>
    <w:rsid w:val="00C85669"/>
    <w:rsid w:val="00C86BB9"/>
    <w:rsid w:val="00C8772C"/>
    <w:rsid w:val="00C95E2B"/>
    <w:rsid w:val="00C963FE"/>
    <w:rsid w:val="00CA43FD"/>
    <w:rsid w:val="00CA53F3"/>
    <w:rsid w:val="00CB18EB"/>
    <w:rsid w:val="00CB335B"/>
    <w:rsid w:val="00CB441E"/>
    <w:rsid w:val="00CB7C59"/>
    <w:rsid w:val="00CC72E9"/>
    <w:rsid w:val="00CD25C2"/>
    <w:rsid w:val="00CD2861"/>
    <w:rsid w:val="00CD4D4E"/>
    <w:rsid w:val="00CE24E5"/>
    <w:rsid w:val="00CE3780"/>
    <w:rsid w:val="00CE41DB"/>
    <w:rsid w:val="00CE4D96"/>
    <w:rsid w:val="00CF1EA0"/>
    <w:rsid w:val="00CF2688"/>
    <w:rsid w:val="00CF5366"/>
    <w:rsid w:val="00D0186F"/>
    <w:rsid w:val="00D0750D"/>
    <w:rsid w:val="00D078C4"/>
    <w:rsid w:val="00D14EDC"/>
    <w:rsid w:val="00D15EA5"/>
    <w:rsid w:val="00D2100B"/>
    <w:rsid w:val="00D24220"/>
    <w:rsid w:val="00D3089E"/>
    <w:rsid w:val="00D31D7A"/>
    <w:rsid w:val="00D3367E"/>
    <w:rsid w:val="00D33E60"/>
    <w:rsid w:val="00D460E7"/>
    <w:rsid w:val="00D54D67"/>
    <w:rsid w:val="00D622DC"/>
    <w:rsid w:val="00D63ABC"/>
    <w:rsid w:val="00D643B7"/>
    <w:rsid w:val="00D64587"/>
    <w:rsid w:val="00D65332"/>
    <w:rsid w:val="00D675F1"/>
    <w:rsid w:val="00D73B96"/>
    <w:rsid w:val="00D80807"/>
    <w:rsid w:val="00D80AF4"/>
    <w:rsid w:val="00D86917"/>
    <w:rsid w:val="00D92F9A"/>
    <w:rsid w:val="00D9427D"/>
    <w:rsid w:val="00D96128"/>
    <w:rsid w:val="00DA34B3"/>
    <w:rsid w:val="00DA36EE"/>
    <w:rsid w:val="00DA452E"/>
    <w:rsid w:val="00DA5128"/>
    <w:rsid w:val="00DB308D"/>
    <w:rsid w:val="00DB4117"/>
    <w:rsid w:val="00DB5F40"/>
    <w:rsid w:val="00DC03C2"/>
    <w:rsid w:val="00DC1188"/>
    <w:rsid w:val="00DC2839"/>
    <w:rsid w:val="00DD0F01"/>
    <w:rsid w:val="00DD14D4"/>
    <w:rsid w:val="00DD1E47"/>
    <w:rsid w:val="00DD61A9"/>
    <w:rsid w:val="00DD6EF1"/>
    <w:rsid w:val="00DE21F6"/>
    <w:rsid w:val="00DE4958"/>
    <w:rsid w:val="00DF38A3"/>
    <w:rsid w:val="00E020BB"/>
    <w:rsid w:val="00E04361"/>
    <w:rsid w:val="00E04761"/>
    <w:rsid w:val="00E064FD"/>
    <w:rsid w:val="00E067A8"/>
    <w:rsid w:val="00E1053A"/>
    <w:rsid w:val="00E12EBC"/>
    <w:rsid w:val="00E13654"/>
    <w:rsid w:val="00E13BE4"/>
    <w:rsid w:val="00E16418"/>
    <w:rsid w:val="00E2641E"/>
    <w:rsid w:val="00E26AF3"/>
    <w:rsid w:val="00E276E0"/>
    <w:rsid w:val="00E314EA"/>
    <w:rsid w:val="00E32E7D"/>
    <w:rsid w:val="00E33FDA"/>
    <w:rsid w:val="00E406D5"/>
    <w:rsid w:val="00E454C3"/>
    <w:rsid w:val="00E4627C"/>
    <w:rsid w:val="00E465E7"/>
    <w:rsid w:val="00E536CA"/>
    <w:rsid w:val="00E56701"/>
    <w:rsid w:val="00E62754"/>
    <w:rsid w:val="00E64D2D"/>
    <w:rsid w:val="00E71E75"/>
    <w:rsid w:val="00E85182"/>
    <w:rsid w:val="00E86B53"/>
    <w:rsid w:val="00E9110B"/>
    <w:rsid w:val="00E92EC1"/>
    <w:rsid w:val="00E94953"/>
    <w:rsid w:val="00EA2B6F"/>
    <w:rsid w:val="00EB3478"/>
    <w:rsid w:val="00EB4B39"/>
    <w:rsid w:val="00EB6FE3"/>
    <w:rsid w:val="00EC0722"/>
    <w:rsid w:val="00EC21F6"/>
    <w:rsid w:val="00ED2359"/>
    <w:rsid w:val="00ED788D"/>
    <w:rsid w:val="00EE0F65"/>
    <w:rsid w:val="00EE18D8"/>
    <w:rsid w:val="00EE3363"/>
    <w:rsid w:val="00EE3D01"/>
    <w:rsid w:val="00EE406B"/>
    <w:rsid w:val="00EE44DA"/>
    <w:rsid w:val="00EE59BD"/>
    <w:rsid w:val="00EF190C"/>
    <w:rsid w:val="00EF5186"/>
    <w:rsid w:val="00F01358"/>
    <w:rsid w:val="00F107F3"/>
    <w:rsid w:val="00F13311"/>
    <w:rsid w:val="00F144E0"/>
    <w:rsid w:val="00F22225"/>
    <w:rsid w:val="00F2306E"/>
    <w:rsid w:val="00F246A1"/>
    <w:rsid w:val="00F37917"/>
    <w:rsid w:val="00F42DCC"/>
    <w:rsid w:val="00F43D66"/>
    <w:rsid w:val="00F517A3"/>
    <w:rsid w:val="00F5513E"/>
    <w:rsid w:val="00F63F3F"/>
    <w:rsid w:val="00F66FA5"/>
    <w:rsid w:val="00F7118F"/>
    <w:rsid w:val="00F71678"/>
    <w:rsid w:val="00F72B7A"/>
    <w:rsid w:val="00F730E3"/>
    <w:rsid w:val="00F755E9"/>
    <w:rsid w:val="00F81F60"/>
    <w:rsid w:val="00F821FE"/>
    <w:rsid w:val="00F909CD"/>
    <w:rsid w:val="00F951DD"/>
    <w:rsid w:val="00F974D1"/>
    <w:rsid w:val="00F977C3"/>
    <w:rsid w:val="00FA0CF1"/>
    <w:rsid w:val="00FA121E"/>
    <w:rsid w:val="00FA16E0"/>
    <w:rsid w:val="00FB5818"/>
    <w:rsid w:val="00FC1657"/>
    <w:rsid w:val="00FC4397"/>
    <w:rsid w:val="00FC499D"/>
    <w:rsid w:val="00FD05AD"/>
    <w:rsid w:val="00FD0666"/>
    <w:rsid w:val="00FD213E"/>
    <w:rsid w:val="00FD7295"/>
    <w:rsid w:val="00FE2187"/>
    <w:rsid w:val="00FE320C"/>
    <w:rsid w:val="00FE58BD"/>
    <w:rsid w:val="00FE6B12"/>
    <w:rsid w:val="00FF0EF1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customStyle="1" w:styleId="RNormal">
    <w:name w:val="RNormal"/>
    <w:basedOn w:val="Normal"/>
    <w:rsid w:val="00BA5CF6"/>
    <w:pPr>
      <w:spacing w:after="0" w:line="240" w:lineRule="auto"/>
      <w:jc w:val="both"/>
    </w:pPr>
    <w:rPr>
      <w:rFonts w:ascii="Times New Roman" w:hAnsi="Times New Roman" w:cs="Times New Roman"/>
      <w:sz w:val="22"/>
      <w:szCs w:val="24"/>
      <w:lang w:val="en-US"/>
    </w:rPr>
  </w:style>
  <w:style w:type="numbering" w:customStyle="1" w:styleId="GTParagraphBullet1">
    <w:name w:val="GT Paragraph Bullet1"/>
    <w:uiPriority w:val="99"/>
    <w:rsid w:val="001766CF"/>
  </w:style>
  <w:style w:type="paragraph" w:styleId="Revision">
    <w:name w:val="Revision"/>
    <w:hidden/>
    <w:uiPriority w:val="99"/>
    <w:semiHidden/>
    <w:rsid w:val="00D622DC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0" ma:contentTypeDescription="Create a new document." ma:contentTypeScope="" ma:versionID="1f0ce9c3acbca5d96b4e10246b0519d3">
  <xsd:schema xmlns:xsd="http://www.w3.org/2001/XMLSchema" xmlns:xs="http://www.w3.org/2001/XMLSchema" xmlns:p="http://schemas.microsoft.com/office/2006/metadata/properties" xmlns:ns2="020f492e-a77f-4278-87f4-9272f37a7eea" xmlns:ns3="68977692-7f51-4061-9340-5ca34e58b187" targetNamespace="http://schemas.microsoft.com/office/2006/metadata/properties" ma:root="true" ma:fieldsID="644664a9995b622b639384b642e89cd8" ns2:_="" ns3:_="">
    <xsd:import namespace="020f492e-a77f-4278-87f4-9272f37a7eea"/>
    <xsd:import namespace="68977692-7f51-4061-9340-5ca34e58b1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9DA139-DED3-49E0-8766-02758AB8B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18D0A6-E777-4FB1-B549-862641A54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3</TotalTime>
  <Pages>6</Pages>
  <Words>2446</Words>
  <Characters>9509</Characters>
  <Application>Microsoft Office Word</Application>
  <DocSecurity>0</DocSecurity>
  <Lines>79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Pornarin Jarudech</cp:lastModifiedBy>
  <cp:revision>6</cp:revision>
  <cp:lastPrinted>2017-11-14T11:56:00Z</cp:lastPrinted>
  <dcterms:created xsi:type="dcterms:W3CDTF">2023-02-22T04:33:00Z</dcterms:created>
  <dcterms:modified xsi:type="dcterms:W3CDTF">2023-02-27T12:30:00Z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</Properties>
</file>